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1220" w:hanging="416"/>
        <w:spacing w:after="0"/>
        <w:tabs>
          <w:tab w:leader="none" w:pos="1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500" w:right="780" w:hanging="2694"/>
        <w:spacing w:after="0" w:line="375" w:lineRule="auto"/>
        <w:tabs>
          <w:tab w:leader="none" w:pos="121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001-41565</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Leonardo DRS,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84" w:lineRule="exact"/>
        <w:rPr>
          <w:sz w:val="24"/>
          <w:szCs w:val="24"/>
          <w:color w:val="auto"/>
        </w:rPr>
      </w:pPr>
    </w:p>
    <w:tbl>
      <w:tblPr>
        <w:tblLayout w:type="fixed"/>
        <w:tblInd w:w="1700" w:type="dxa"/>
        <w:tblCellMar>
          <w:top w:w="0" w:type="dxa"/>
          <w:left w:w="0" w:type="dxa"/>
          <w:bottom w:w="0" w:type="dxa"/>
          <w:right w:w="0" w:type="dxa"/>
        </w:tblCellMar>
      </w:tblPr>
      <w:tr>
        <w:trPr>
          <w:trHeight w:val="196"/>
        </w:trPr>
        <w:tc>
          <w:tcPr>
            <w:tcW w:w="4180" w:type="dxa"/>
            <w:vAlign w:val="bottom"/>
          </w:tcPr>
          <w:p>
            <w:pPr>
              <w:jc w:val="center"/>
              <w:ind w:right="1868"/>
              <w:spacing w:after="0"/>
              <w:rPr>
                <w:sz w:val="20"/>
                <w:szCs w:val="20"/>
                <w:color w:val="auto"/>
              </w:rPr>
            </w:pPr>
            <w:r>
              <w:rPr>
                <w:rFonts w:ascii="Arial" w:cs="Arial" w:eastAsia="Arial" w:hAnsi="Arial"/>
                <w:sz w:val="14"/>
                <w:szCs w:val="14"/>
                <w:b w:val="1"/>
                <w:bCs w:val="1"/>
                <w:color w:val="auto"/>
              </w:rPr>
              <w:t>Delaware</w:t>
            </w:r>
          </w:p>
        </w:tc>
        <w:tc>
          <w:tcPr>
            <w:tcW w:w="3160" w:type="dxa"/>
            <w:vAlign w:val="bottom"/>
          </w:tcPr>
          <w:p>
            <w:pPr>
              <w:jc w:val="center"/>
              <w:ind w:left="1868"/>
              <w:spacing w:after="0"/>
              <w:rPr>
                <w:sz w:val="20"/>
                <w:szCs w:val="20"/>
                <w:color w:val="auto"/>
              </w:rPr>
            </w:pPr>
            <w:r>
              <w:rPr>
                <w:rFonts w:ascii="Arial" w:cs="Arial" w:eastAsia="Arial" w:hAnsi="Arial"/>
                <w:sz w:val="14"/>
                <w:szCs w:val="14"/>
                <w:b w:val="1"/>
                <w:bCs w:val="1"/>
                <w:color w:val="auto"/>
              </w:rPr>
              <w:t>13-2632319</w:t>
            </w:r>
          </w:p>
        </w:tc>
      </w:tr>
      <w:tr>
        <w:trPr>
          <w:trHeight w:val="209"/>
        </w:trPr>
        <w:tc>
          <w:tcPr>
            <w:tcW w:w="4180" w:type="dxa"/>
            <w:vAlign w:val="bottom"/>
          </w:tcPr>
          <w:p>
            <w:pPr>
              <w:jc w:val="center"/>
              <w:ind w:right="1868"/>
              <w:spacing w:after="0"/>
              <w:rPr>
                <w:sz w:val="20"/>
                <w:szCs w:val="20"/>
                <w:color w:val="auto"/>
              </w:rPr>
            </w:pPr>
            <w:r>
              <w:rPr>
                <w:rFonts w:ascii="Arial" w:cs="Arial" w:eastAsia="Arial" w:hAnsi="Arial"/>
                <w:sz w:val="14"/>
                <w:szCs w:val="14"/>
                <w:b w:val="1"/>
                <w:bCs w:val="1"/>
                <w:color w:val="auto"/>
              </w:rPr>
              <w:t>(State or other jurisdiction</w:t>
            </w:r>
          </w:p>
        </w:tc>
        <w:tc>
          <w:tcPr>
            <w:tcW w:w="3160" w:type="dxa"/>
            <w:vAlign w:val="bottom"/>
          </w:tcPr>
          <w:p>
            <w:pPr>
              <w:jc w:val="center"/>
              <w:ind w:left="186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80" w:type="dxa"/>
            <w:vAlign w:val="bottom"/>
          </w:tcPr>
          <w:p>
            <w:pPr>
              <w:jc w:val="center"/>
              <w:ind w:right="1868"/>
              <w:spacing w:after="0"/>
              <w:rPr>
                <w:sz w:val="20"/>
                <w:szCs w:val="20"/>
                <w:color w:val="auto"/>
              </w:rPr>
            </w:pPr>
            <w:r>
              <w:rPr>
                <w:rFonts w:ascii="Arial" w:cs="Arial" w:eastAsia="Arial" w:hAnsi="Arial"/>
                <w:sz w:val="14"/>
                <w:szCs w:val="14"/>
                <w:b w:val="1"/>
                <w:bCs w:val="1"/>
                <w:color w:val="auto"/>
              </w:rPr>
              <w:t>of incorporation or organization)</w:t>
            </w:r>
          </w:p>
        </w:tc>
        <w:tc>
          <w:tcPr>
            <w:tcW w:w="3160" w:type="dxa"/>
            <w:vAlign w:val="bottom"/>
          </w:tcPr>
          <w:p>
            <w:pPr>
              <w:jc w:val="center"/>
              <w:ind w:left="1868"/>
              <w:spacing w:after="0"/>
              <w:rPr>
                <w:sz w:val="20"/>
                <w:szCs w:val="20"/>
                <w:color w:val="auto"/>
              </w:rPr>
            </w:pPr>
            <w:r>
              <w:rPr>
                <w:rFonts w:ascii="Arial" w:cs="Arial" w:eastAsia="Arial" w:hAnsi="Arial"/>
                <w:sz w:val="14"/>
                <w:szCs w:val="14"/>
                <w:b w:val="1"/>
                <w:bCs w:val="1"/>
                <w:color w:val="auto"/>
              </w:rPr>
              <w:t>Identification No.)</w:t>
            </w:r>
          </w:p>
        </w:tc>
      </w:tr>
    </w:tbl>
    <w:p>
      <w:pPr>
        <w:spacing w:after="0" w:line="96" w:lineRule="exact"/>
        <w:rPr>
          <w:sz w:val="24"/>
          <w:szCs w:val="24"/>
          <w:color w:val="auto"/>
        </w:rPr>
      </w:pPr>
    </w:p>
    <w:p>
      <w:pPr>
        <w:ind w:left="4920"/>
        <w:spacing w:after="0"/>
        <w:rPr>
          <w:sz w:val="20"/>
          <w:szCs w:val="20"/>
          <w:color w:val="auto"/>
        </w:rPr>
      </w:pPr>
      <w:r>
        <w:rPr>
          <w:rFonts w:ascii="Arial" w:cs="Arial" w:eastAsia="Arial" w:hAnsi="Arial"/>
          <w:sz w:val="16"/>
          <w:szCs w:val="16"/>
          <w:b w:val="1"/>
          <w:bCs w:val="1"/>
          <w:color w:val="auto"/>
        </w:rPr>
        <w:t>2345 Crystal Drive</w:t>
      </w:r>
    </w:p>
    <w:p>
      <w:pPr>
        <w:spacing w:after="0" w:line="35" w:lineRule="exact"/>
        <w:rPr>
          <w:sz w:val="24"/>
          <w:szCs w:val="24"/>
          <w:color w:val="auto"/>
        </w:rPr>
      </w:pPr>
    </w:p>
    <w:p>
      <w:pPr>
        <w:ind w:left="5220"/>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(703) 416-8000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including zip code, and registrant’s telephone number, including area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360" w:type="dxa"/>
            <w:vAlign w:val="bottom"/>
          </w:tcPr>
          <w:p>
            <w:pPr>
              <w:spacing w:after="0"/>
              <w:rPr>
                <w:sz w:val="18"/>
                <w:szCs w:val="18"/>
                <w:color w:val="auto"/>
              </w:rPr>
            </w:pPr>
          </w:p>
        </w:tc>
        <w:tc>
          <w:tcPr>
            <w:tcW w:w="23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Trading Symbol(s)</w:t>
            </w:r>
          </w:p>
        </w:tc>
        <w:tc>
          <w:tcPr>
            <w:tcW w:w="410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760" w:type="dxa"/>
            <w:vAlign w:val="bottom"/>
            <w:gridSpan w:val="3"/>
          </w:tcPr>
          <w:p>
            <w:pPr>
              <w:jc w:val="center"/>
              <w:ind w:right="400"/>
              <w:spacing w:after="0"/>
              <w:rPr>
                <w:sz w:val="20"/>
                <w:szCs w:val="20"/>
                <w:color w:val="auto"/>
              </w:rPr>
            </w:pPr>
            <w:r>
              <w:rPr>
                <w:rFonts w:ascii="Arial" w:cs="Arial" w:eastAsia="Arial" w:hAnsi="Arial"/>
                <w:sz w:val="18"/>
                <w:szCs w:val="18"/>
                <w:color w:val="auto"/>
              </w:rPr>
              <w:t>Common stock, par value $0.01 per share</w:t>
            </w:r>
          </w:p>
        </w:tc>
        <w:tc>
          <w:tcPr>
            <w:tcW w:w="400" w:type="dxa"/>
            <w:vAlign w:val="bottom"/>
          </w:tcPr>
          <w:p>
            <w:pPr>
              <w:spacing w:after="0"/>
              <w:rPr>
                <w:sz w:val="22"/>
                <w:szCs w:val="22"/>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DRS</w:t>
            </w:r>
          </w:p>
        </w:tc>
        <w:tc>
          <w:tcPr>
            <w:tcW w:w="54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38"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70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8"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28, 2026, there were 266,621,085 shares of the registrant’s common stock, par value of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31" w:right="359" w:bottom="1440" w:gutter="0" w:footer="0" w:header="0"/>
        </w:sectPr>
      </w:pPr>
    </w:p>
    <w:bookmarkStart w:id="1" w:name="page2"/>
    <w:bookmarkEnd w:id="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4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9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18"/>
        </w:trPr>
        <w:tc>
          <w:tcPr>
            <w:tcW w:w="2340" w:type="dxa"/>
            <w:vAlign w:val="bottom"/>
            <w:tcBorders>
              <w:bottom w:val="single" w:sz="8" w:color="0000FF"/>
            </w:tcBorders>
            <w:gridSpan w:val="8"/>
          </w:tcPr>
          <w:p>
            <w:pPr>
              <w:spacing w:after="0" w:line="198" w:lineRule="exact"/>
              <w:rPr>
                <w:sz w:val="20"/>
                <w:szCs w:val="20"/>
                <w:color w:val="auto"/>
              </w:rPr>
            </w:pPr>
            <w:r>
              <w:rPr>
                <w:rFonts w:ascii="Arial" w:cs="Arial" w:eastAsia="Arial" w:hAnsi="Arial"/>
                <w:sz w:val="18"/>
                <w:szCs w:val="18"/>
                <w:color w:val="0000FF"/>
                <w:w w:val="98"/>
              </w:rPr>
              <w:t>PART I. Financial Information</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ITEM 1. Financial Statements (Unaudited)</w:t>
            </w:r>
          </w:p>
        </w:tc>
        <w:tc>
          <w:tcPr>
            <w:tcW w:w="5760" w:type="dxa"/>
            <w:vAlign w:val="bottom"/>
            <w:gridSpan w:val="8"/>
          </w:tcPr>
          <w:p>
            <w:pPr>
              <w:spacing w:after="0"/>
              <w:rPr>
                <w:sz w:val="18"/>
                <w:szCs w:val="18"/>
                <w:color w:val="auto"/>
              </w:rPr>
            </w:pPr>
          </w:p>
        </w:tc>
        <w:tc>
          <w:tcPr>
            <w:tcW w:w="17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900" w:type="dxa"/>
            <w:vAlign w:val="bottom"/>
            <w:gridSpan w:val="21"/>
          </w:tcPr>
          <w:p>
            <w:pPr>
              <w:spacing w:after="0"/>
              <w:rPr>
                <w:sz w:val="20"/>
                <w:szCs w:val="20"/>
                <w:color w:val="auto"/>
              </w:rPr>
            </w:pPr>
            <w:r>
              <w:rPr>
                <w:rFonts w:ascii="Arial" w:cs="Arial" w:eastAsia="Arial" w:hAnsi="Arial"/>
                <w:sz w:val="18"/>
                <w:szCs w:val="18"/>
                <w:color w:val="0000FF"/>
              </w:rPr>
              <w:t>Consolidated Statements of Earnings</w:t>
            </w:r>
          </w:p>
        </w:tc>
        <w:tc>
          <w:tcPr>
            <w:tcW w:w="186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Consolidated Statements of Comprehensive Income</w:t>
            </w:r>
          </w:p>
        </w:tc>
        <w:tc>
          <w:tcPr>
            <w:tcW w:w="4740" w:type="dxa"/>
            <w:vAlign w:val="bottom"/>
            <w:gridSpan w:val="4"/>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Balance Sheets</w:t>
            </w:r>
          </w:p>
        </w:tc>
        <w:tc>
          <w:tcPr>
            <w:tcW w:w="6540" w:type="dxa"/>
            <w:vAlign w:val="bottom"/>
            <w:gridSpan w:val="13"/>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Consolidated Statements of Cash Flows</w:t>
            </w:r>
          </w:p>
        </w:tc>
        <w:tc>
          <w:tcPr>
            <w:tcW w:w="5700" w:type="dxa"/>
            <w:vAlign w:val="bottom"/>
            <w:gridSpan w:val="7"/>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900" w:type="dxa"/>
            <w:vAlign w:val="bottom"/>
            <w:gridSpan w:val="21"/>
          </w:tcPr>
          <w:p>
            <w:pPr>
              <w:spacing w:after="0"/>
              <w:rPr>
                <w:sz w:val="20"/>
                <w:szCs w:val="20"/>
                <w:color w:val="auto"/>
              </w:rPr>
            </w:pPr>
            <w:r>
              <w:rPr>
                <w:rFonts w:ascii="Arial" w:cs="Arial" w:eastAsia="Arial" w:hAnsi="Arial"/>
                <w:sz w:val="18"/>
                <w:szCs w:val="18"/>
                <w:color w:val="0000FF"/>
              </w:rPr>
              <w:t>Consolidated Statements of Stockholders' Equity</w:t>
            </w:r>
          </w:p>
        </w:tc>
        <w:tc>
          <w:tcPr>
            <w:tcW w:w="186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380" w:type="dxa"/>
            <w:vAlign w:val="bottom"/>
            <w:tcBorders>
              <w:top w:val="single" w:sz="8" w:color="0000FF"/>
            </w:tcBorders>
          </w:tcPr>
          <w:p>
            <w:pPr>
              <w:spacing w:after="0"/>
              <w:rPr>
                <w:sz w:val="21"/>
                <w:szCs w:val="21"/>
                <w:color w:val="auto"/>
              </w:rPr>
            </w:pPr>
          </w:p>
        </w:tc>
        <w:tc>
          <w:tcPr>
            <w:tcW w:w="5020" w:type="dxa"/>
            <w:vAlign w:val="bottom"/>
            <w:gridSpan w:val="5"/>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50"/>
        </w:trPr>
        <w:tc>
          <w:tcPr>
            <w:tcW w:w="220" w:type="dxa"/>
            <w:vAlign w:val="bottom"/>
          </w:tcPr>
          <w:p>
            <w:pPr>
              <w:spacing w:after="0"/>
              <w:rPr>
                <w:sz w:val="21"/>
                <w:szCs w:val="21"/>
                <w:color w:val="auto"/>
              </w:rPr>
            </w:pPr>
          </w:p>
        </w:tc>
        <w:tc>
          <w:tcPr>
            <w:tcW w:w="77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1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r>
      <w:tr>
        <w:trPr>
          <w:trHeight w:val="250"/>
        </w:trPr>
        <w:tc>
          <w:tcPr>
            <w:tcW w:w="220" w:type="dxa"/>
            <w:vAlign w:val="bottom"/>
          </w:tcPr>
          <w:p>
            <w:pPr>
              <w:spacing w:after="0"/>
              <w:rPr>
                <w:sz w:val="21"/>
                <w:szCs w:val="21"/>
                <w:color w:val="auto"/>
              </w:rPr>
            </w:pPr>
          </w:p>
        </w:tc>
        <w:tc>
          <w:tcPr>
            <w:tcW w:w="54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ITEM 3. Quantitative and Qualitative Disclosures About Market Risk</w:t>
            </w:r>
          </w:p>
        </w:tc>
        <w:tc>
          <w:tcPr>
            <w:tcW w:w="3720" w:type="dxa"/>
            <w:vAlign w:val="bottom"/>
            <w:gridSpan w:val="3"/>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35</w:t>
            </w:r>
          </w:p>
        </w:tc>
      </w:tr>
      <w:tr>
        <w:trPr>
          <w:trHeight w:val="250"/>
        </w:trPr>
        <w:tc>
          <w:tcPr>
            <w:tcW w:w="220" w:type="dxa"/>
            <w:vAlign w:val="bottom"/>
          </w:tcPr>
          <w:p>
            <w:pPr>
              <w:spacing w:after="0"/>
              <w:rPr>
                <w:sz w:val="21"/>
                <w:szCs w:val="21"/>
                <w:color w:val="auto"/>
              </w:rPr>
            </w:pPr>
          </w:p>
        </w:tc>
        <w:tc>
          <w:tcPr>
            <w:tcW w:w="2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ITEM 4. Controls and Procedures</w:t>
            </w:r>
          </w:p>
        </w:tc>
        <w:tc>
          <w:tcPr>
            <w:tcW w:w="6440" w:type="dxa"/>
            <w:vAlign w:val="bottom"/>
            <w:gridSpan w:val="11"/>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35</w:t>
            </w:r>
          </w:p>
        </w:tc>
      </w:tr>
      <w:tr>
        <w:trPr>
          <w:trHeight w:val="250"/>
        </w:trPr>
        <w:tc>
          <w:tcPr>
            <w:tcW w:w="21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PART II. Other Information</w:t>
            </w:r>
          </w:p>
        </w:tc>
        <w:tc>
          <w:tcPr>
            <w:tcW w:w="7220" w:type="dxa"/>
            <w:vAlign w:val="bottom"/>
            <w:gridSpan w:val="17"/>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220" w:type="dxa"/>
            <w:vAlign w:val="bottom"/>
          </w:tcPr>
          <w:p>
            <w:pPr>
              <w:spacing w:after="0"/>
              <w:rPr>
                <w:sz w:val="21"/>
                <w:szCs w:val="21"/>
                <w:color w:val="auto"/>
              </w:rPr>
            </w:pPr>
          </w:p>
        </w:tc>
        <w:tc>
          <w:tcPr>
            <w:tcW w:w="21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ITEM 1. Legal Proceedings</w:t>
            </w:r>
          </w:p>
        </w:tc>
        <w:tc>
          <w:tcPr>
            <w:tcW w:w="6940" w:type="dxa"/>
            <w:vAlign w:val="bottom"/>
            <w:gridSpan w:val="14"/>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220" w:type="dxa"/>
            <w:vAlign w:val="bottom"/>
          </w:tcPr>
          <w:p>
            <w:pPr>
              <w:spacing w:after="0"/>
              <w:rPr>
                <w:sz w:val="21"/>
                <w:szCs w:val="21"/>
                <w:color w:val="auto"/>
              </w:rPr>
            </w:pPr>
          </w:p>
        </w:tc>
        <w:tc>
          <w:tcPr>
            <w:tcW w:w="912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1860" w:type="dxa"/>
            <w:vAlign w:val="bottom"/>
            <w:gridSpan w:val="3"/>
          </w:tcPr>
          <w:p>
            <w:pPr>
              <w:jc w:val="right"/>
              <w:spacing w:after="0"/>
              <w:rPr>
                <w:sz w:val="20"/>
                <w:szCs w:val="20"/>
                <w:color w:val="auto"/>
              </w:rPr>
            </w:pPr>
            <w:r>
              <w:rPr>
                <w:rFonts w:ascii="Arial" w:cs="Arial" w:eastAsia="Arial" w:hAnsi="Arial"/>
                <w:sz w:val="18"/>
                <w:szCs w:val="18"/>
                <w:color w:val="0000FF"/>
              </w:rPr>
              <w:t>37</w:t>
            </w: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5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ITEM 2. Unregistered Sales of Equity Securities and Use of Proceeds</w:t>
            </w:r>
          </w:p>
        </w:tc>
        <w:tc>
          <w:tcPr>
            <w:tcW w:w="3580" w:type="dxa"/>
            <w:vAlign w:val="bottom"/>
            <w:gridSpan w:val="2"/>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220" w:type="dxa"/>
            <w:vAlign w:val="bottom"/>
          </w:tcPr>
          <w:p>
            <w:pPr>
              <w:spacing w:after="0"/>
              <w:rPr>
                <w:sz w:val="21"/>
                <w:szCs w:val="21"/>
                <w:color w:val="auto"/>
              </w:rPr>
            </w:pPr>
          </w:p>
        </w:tc>
        <w:tc>
          <w:tcPr>
            <w:tcW w:w="32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ITEM 3. Defaults Upon Senior Securities</w:t>
            </w:r>
          </w:p>
        </w:tc>
        <w:tc>
          <w:tcPr>
            <w:tcW w:w="5880" w:type="dxa"/>
            <w:vAlign w:val="bottom"/>
            <w:gridSpan w:val="9"/>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220" w:type="dxa"/>
            <w:vAlign w:val="bottom"/>
          </w:tcPr>
          <w:p>
            <w:pPr>
              <w:spacing w:after="0"/>
              <w:rPr>
                <w:sz w:val="21"/>
                <w:szCs w:val="21"/>
                <w:color w:val="auto"/>
              </w:rPr>
            </w:pPr>
          </w:p>
        </w:tc>
        <w:tc>
          <w:tcPr>
            <w:tcW w:w="26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ITEM 4. Mine Safety Disclosures</w:t>
            </w:r>
          </w:p>
        </w:tc>
        <w:tc>
          <w:tcPr>
            <w:tcW w:w="6500" w:type="dxa"/>
            <w:vAlign w:val="bottom"/>
            <w:gridSpan w:val="12"/>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220" w:type="dxa"/>
            <w:vAlign w:val="bottom"/>
          </w:tcPr>
          <w:p>
            <w:pPr>
              <w:spacing w:after="0"/>
              <w:rPr>
                <w:sz w:val="21"/>
                <w:szCs w:val="21"/>
                <w:color w:val="auto"/>
              </w:rPr>
            </w:pPr>
          </w:p>
        </w:tc>
        <w:tc>
          <w:tcPr>
            <w:tcW w:w="9120" w:type="dxa"/>
            <w:vAlign w:val="bottom"/>
            <w:gridSpan w:val="22"/>
          </w:tcPr>
          <w:p>
            <w:pPr>
              <w:spacing w:after="0"/>
              <w:rPr>
                <w:sz w:val="20"/>
                <w:szCs w:val="20"/>
                <w:color w:val="auto"/>
              </w:rPr>
            </w:pPr>
            <w:r>
              <w:rPr>
                <w:rFonts w:ascii="Arial" w:cs="Arial" w:eastAsia="Arial" w:hAnsi="Arial"/>
                <w:sz w:val="18"/>
                <w:szCs w:val="18"/>
                <w:color w:val="0000FF"/>
              </w:rPr>
              <w:t>ITEM 5. Other Information</w:t>
            </w:r>
          </w:p>
        </w:tc>
        <w:tc>
          <w:tcPr>
            <w:tcW w:w="1860" w:type="dxa"/>
            <w:vAlign w:val="bottom"/>
            <w:gridSpan w:val="3"/>
          </w:tcPr>
          <w:p>
            <w:pPr>
              <w:jc w:val="right"/>
              <w:spacing w:after="0"/>
              <w:rPr>
                <w:sz w:val="20"/>
                <w:szCs w:val="20"/>
                <w:color w:val="auto"/>
              </w:rPr>
            </w:pPr>
            <w:r>
              <w:rPr>
                <w:rFonts w:ascii="Arial" w:cs="Arial" w:eastAsia="Arial" w:hAnsi="Arial"/>
                <w:sz w:val="18"/>
                <w:szCs w:val="18"/>
                <w:color w:val="0000FF"/>
              </w:rPr>
              <w:t>38</w:t>
            </w:r>
          </w:p>
        </w:tc>
      </w:tr>
      <w:tr>
        <w:trPr>
          <w:trHeight w:val="250"/>
        </w:trPr>
        <w:tc>
          <w:tcPr>
            <w:tcW w:w="22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ITEM 6. Exhibits</w:t>
            </w:r>
          </w:p>
        </w:tc>
        <w:tc>
          <w:tcPr>
            <w:tcW w:w="760" w:type="dxa"/>
            <w:vAlign w:val="bottom"/>
            <w:tcBorders>
              <w:top w:val="single" w:sz="8" w:color="0000FF"/>
            </w:tcBorders>
            <w:gridSpan w:val="3"/>
          </w:tcPr>
          <w:p>
            <w:pPr>
              <w:spacing w:after="0"/>
              <w:rPr>
                <w:sz w:val="21"/>
                <w:szCs w:val="21"/>
                <w:color w:val="auto"/>
              </w:rPr>
            </w:pPr>
          </w:p>
        </w:tc>
        <w:tc>
          <w:tcPr>
            <w:tcW w:w="7040" w:type="dxa"/>
            <w:vAlign w:val="bottom"/>
            <w:gridSpan w:val="16"/>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r>
      <w:tr>
        <w:trPr>
          <w:trHeight w:val="250"/>
        </w:trPr>
        <w:tc>
          <w:tcPr>
            <w:tcW w:w="934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1860" w:type="dxa"/>
            <w:vAlign w:val="bottom"/>
            <w:gridSpan w:val="3"/>
          </w:tcPr>
          <w:p>
            <w:pPr>
              <w:jc w:val="right"/>
              <w:spacing w:after="0"/>
              <w:rPr>
                <w:sz w:val="20"/>
                <w:szCs w:val="20"/>
                <w:color w:val="auto"/>
              </w:rPr>
            </w:pPr>
            <w:r>
              <w:rPr>
                <w:rFonts w:ascii="Arial" w:cs="Arial" w:eastAsia="Arial" w:hAnsi="Arial"/>
                <w:sz w:val="18"/>
                <w:szCs w:val="18"/>
                <w:color w:val="0000FF"/>
              </w:rPr>
              <w:t>40</w:t>
            </w: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INFORMATION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this quarterly report on Form 10-Q (this “Quarterly Report”), when using the terms the “Company,” “DRS,” “we,” “us” and “our,” unless otherwise indicated or the context otherwise requires, we are referring to Leonardo DRS, Inc. This Quarterly Report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Quarterly Report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spacing w:after="0" w:line="12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Quarterly Report. In addition, even if future performance and outcomes are consistent with the forward-looking statements contained in this Quarterly Report,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spacing w:after="0" w:line="129" w:lineRule="exact"/>
        <w:rPr>
          <w:sz w:val="20"/>
          <w:szCs w:val="20"/>
          <w:color w:val="auto"/>
        </w:rPr>
      </w:pPr>
    </w:p>
    <w:p>
      <w:pPr>
        <w:jc w:val="both"/>
        <w:ind w:left="660" w:right="60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including from government shutdowns,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spacing w:after="0" w:line="116"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including from government shutdowns, or reductions in appropriations for our programs and changes in U.S. government priorities and spending levels more broadly;</w:t>
      </w:r>
    </w:p>
    <w:p>
      <w:pPr>
        <w:spacing w:after="0" w:line="98"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to comply with the amended and restated proxy agreement with the U.S. Department of War, also known as the U.S. Department of Defense (the “DoW”);</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inflation and other cost pressures on our supply chain and/or our labor costs;</w:t>
      </w:r>
    </w:p>
    <w:p>
      <w:pPr>
        <w:spacing w:after="0" w:line="171"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mix of fixed-price, cost-plus and time-and-materials type contracts and any resulting impact on our cash flows due to cost overruns;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properly comply with various covenants of the agreements governing our debt could negatively impact our business;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U.S. government contracts, which often are only partially funded and are subject to immediate termination, some of which are classified, and the concentration of our customer base in the U.S. defense industry;</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estimates in pricing and accounting for many of our programs that are inherently uncertain and which may not prove to be accurate;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full value of our backlog;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predict future capital needs or to obtain additional financing if needed, on terms acceptable to us,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9"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respond to the rapid technological changes in the markets in which we compete;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global and regional economic downturns and rising interest rates;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appropriately manage our inventory;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fully realize the value of our total estimated contract value or bookings;</w:t>
      </w:r>
    </w:p>
    <w:p>
      <w:pPr>
        <w:spacing w:after="0" w:line="171" w:lineRule="exact"/>
        <w:rPr>
          <w:rFonts w:ascii="Arial" w:cs="Arial" w:eastAsia="Arial" w:hAnsi="Arial"/>
          <w:sz w:val="18"/>
          <w:szCs w:val="18"/>
          <w:color w:val="auto"/>
        </w:rPr>
      </w:pPr>
    </w:p>
    <w:p>
      <w:pPr>
        <w:ind w:left="328" w:right="52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efficiently, including due to U.S. government organizational conflict of interest rules which may limit new contract opportunities or require us to wind down existing contracts;</w:t>
      </w:r>
    </w:p>
    <w:p>
      <w:pPr>
        <w:spacing w:after="0" w:line="98" w:lineRule="exact"/>
        <w:rPr>
          <w:rFonts w:ascii="Arial" w:cs="Arial" w:eastAsia="Arial" w:hAnsi="Arial"/>
          <w:sz w:val="18"/>
          <w:szCs w:val="18"/>
          <w:color w:val="auto"/>
        </w:rPr>
      </w:pPr>
    </w:p>
    <w:p>
      <w:pPr>
        <w:ind w:left="328" w:right="40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relationships with other industry participants, including any contractual disputes or the inability of our key suppliers to timely deliver our components, parts or services;</w:t>
      </w:r>
    </w:p>
    <w:p>
      <w:pPr>
        <w:spacing w:after="0" w:line="98"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Preferences for set-asides for small or small disadvantaged businesses could impact our ability to be a prime contractor;</w:t>
      </w:r>
    </w:p>
    <w:p>
      <w:pPr>
        <w:spacing w:after="0" w:line="171" w:lineRule="exact"/>
        <w:rPr>
          <w:rFonts w:ascii="Arial" w:cs="Arial" w:eastAsia="Arial" w:hAnsi="Arial"/>
          <w:sz w:val="18"/>
          <w:szCs w:val="18"/>
          <w:color w:val="auto"/>
        </w:rPr>
      </w:pPr>
    </w:p>
    <w:p>
      <w:pPr>
        <w:ind w:left="328" w:right="30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meet our contractual obligations including due to potential impacts to our business from supply chain risks, such as longer lead times and shortages of electronics and other components;</w:t>
      </w:r>
    </w:p>
    <w:p>
      <w:pPr>
        <w:spacing w:after="0" w:line="98" w:lineRule="exact"/>
        <w:rPr>
          <w:rFonts w:ascii="Arial" w:cs="Arial" w:eastAsia="Arial" w:hAnsi="Arial"/>
          <w:sz w:val="18"/>
          <w:szCs w:val="18"/>
          <w:color w:val="auto"/>
        </w:rPr>
      </w:pPr>
    </w:p>
    <w:p>
      <w:pPr>
        <w:ind w:left="328" w:right="12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security breach, including any cyber-attack, cyber intrusion, insider threat, or other significant disruption of our IT networks and related systems, as well as any act of terrorism or other threat to our physical security and personnel;</w:t>
      </w:r>
    </w:p>
    <w:p>
      <w:pPr>
        <w:spacing w:after="0" w:line="98" w:lineRule="exact"/>
        <w:rPr>
          <w:rFonts w:ascii="Arial" w:cs="Arial" w:eastAsia="Arial" w:hAnsi="Arial"/>
          <w:sz w:val="18"/>
          <w:szCs w:val="18"/>
          <w:color w:val="auto"/>
        </w:rPr>
      </w:pPr>
    </w:p>
    <w:p>
      <w:pPr>
        <w:jc w:val="both"/>
        <w:ind w:left="328" w:right="140" w:hanging="328"/>
        <w:spacing w:after="0" w:line="268"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spacing w:after="0" w:line="116" w:lineRule="exact"/>
        <w:rPr>
          <w:rFonts w:ascii="Arial" w:cs="Arial" w:eastAsia="Arial" w:hAnsi="Arial"/>
          <w:sz w:val="18"/>
          <w:szCs w:val="18"/>
          <w:color w:val="auto"/>
        </w:rPr>
      </w:pPr>
    </w:p>
    <w:p>
      <w:pPr>
        <w:ind w:left="328" w:right="78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conduct of our employees, agents, affiliates, subcontractors, suppliers, business partners or joint ventures in which we participate which may impact our reputation and ability to do business;</w:t>
      </w:r>
    </w:p>
    <w:p>
      <w:pPr>
        <w:spacing w:after="0" w:line="98" w:lineRule="exact"/>
        <w:rPr>
          <w:rFonts w:ascii="Arial" w:cs="Arial" w:eastAsia="Arial" w:hAnsi="Arial"/>
          <w:sz w:val="18"/>
          <w:szCs w:val="18"/>
          <w:color w:val="auto"/>
        </w:rPr>
      </w:pPr>
    </w:p>
    <w:p>
      <w:pPr>
        <w:ind w:left="328" w:right="12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arbitration, investigations, claims, disputes, enforcement actions and other legal proceedings in which we are involved;</w:t>
      </w:r>
    </w:p>
    <w:p>
      <w:pPr>
        <w:spacing w:after="0" w:line="98" w:lineRule="exact"/>
        <w:rPr>
          <w:rFonts w:ascii="Arial" w:cs="Arial" w:eastAsia="Arial" w:hAnsi="Arial"/>
          <w:sz w:val="18"/>
          <w:szCs w:val="18"/>
          <w:color w:val="auto"/>
        </w:rPr>
      </w:pPr>
    </w:p>
    <w:p>
      <w:pPr>
        <w:ind w:left="328" w:hanging="328"/>
        <w:spacing w:after="0" w:line="262"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geopolitical and economic factors, laws and regulations including the Foreign Corrupt Practices Act, the Arms Export Control Act, the International Traffic in Arms Regulations, the Export Administration Regulations, recent U.S. tariffs imposed or threatened to be imposed on other countries and any related retaliatory actions taken by such countries and those that we are exposed to as a result of our international business;</w:t>
      </w:r>
    </w:p>
    <w:p>
      <w:pPr>
        <w:spacing w:after="0" w:line="122" w:lineRule="exact"/>
        <w:rPr>
          <w:rFonts w:ascii="Arial" w:cs="Arial" w:eastAsia="Arial" w:hAnsi="Arial"/>
          <w:sz w:val="18"/>
          <w:szCs w:val="18"/>
          <w:color w:val="auto"/>
        </w:rPr>
      </w:pPr>
    </w:p>
    <w:p>
      <w:pPr>
        <w:ind w:left="328" w:right="8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export licenses necessary to conduct certain operations abroad, including any attempts by Congress to prevent proposed sales to certain foreign governments;</w:t>
      </w:r>
    </w:p>
    <w:p>
      <w:pPr>
        <w:spacing w:after="0" w:line="98"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technical and other key personnel;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prolonged work stoppages;</w:t>
      </w:r>
    </w:p>
    <w:p>
      <w:pPr>
        <w:spacing w:after="0" w:line="171"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unavailability or inadequacy of our insurance coverage, customer indemnifications or other liability protections to cover all of our significant risks or to pay for material losses we incur;</w:t>
      </w:r>
    </w:p>
    <w:p>
      <w:pPr>
        <w:spacing w:after="0" w:line="98"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in U.S. tax laws and regulations or interpretations thereof;</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in the DoW’s and other governments’ budgets;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limitations on our ability to use our net operating losses to offset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1440" w:right="399" w:bottom="1440" w:gutter="0" w:footer="0" w:header="0"/>
        </w:sectPr>
      </w:pPr>
    </w:p>
    <w:bookmarkStart w:id="4" w:name="page5"/>
    <w:bookmarkEnd w:id="4"/>
    <w:p>
      <w:pPr>
        <w:spacing w:after="0" w:line="13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Termination of our leases or our inability to renew our leases on acceptable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estimates used in accounting for our pension plans, including with respect to the funding status thereof;</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future business or other market conditions that could cause business investments and/or recorded goodwill or other long-term assets to become impaired;</w:t>
      </w:r>
    </w:p>
    <w:p>
      <w:pPr>
        <w:spacing w:after="0" w:line="98"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proposed acquisition of Raft LLC, including the failure to complete the transaction on the anticipated timeline or at all, the failure to realize the anticipated benefits of the transaction, including expected accretion and tax benefits, integration difficulties, retention of key personnel, transaction and integration costs, and increased indebtedness incurred to fund the transaction;</w:t>
      </w:r>
    </w:p>
    <w:p>
      <w:pPr>
        <w:spacing w:after="0" w:line="116" w:lineRule="exact"/>
        <w:rPr>
          <w:rFonts w:ascii="Arial" w:cs="Arial" w:eastAsia="Arial" w:hAnsi="Arial"/>
          <w:sz w:val="18"/>
          <w:szCs w:val="18"/>
          <w:color w:val="auto"/>
        </w:rPr>
      </w:pPr>
    </w:p>
    <w:p>
      <w:pPr>
        <w:ind w:left="660" w:right="52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consequences from any acquisitions such as operating difficulties, dilution and other harmful consequences or any modification, delay or prevention of any future acquisition or investment activity by the Committee on Foreign Investment in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severe weather or other significant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properly contain a global pandemic in a timely manner could materially affect how we and our business partners operate;</w:t>
      </w:r>
    </w:p>
    <w:p>
      <w:pPr>
        <w:spacing w:after="0" w:line="171"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environmental laws and regulations, and any environmental liabilities that may affect our reputation or financial position;</w:t>
      </w:r>
    </w:p>
    <w:p>
      <w:pPr>
        <w:spacing w:after="0" w:line="98"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conflict of interest that may arise because Leonardo US Holding, LLC, our majority stockholder, or Leonardo S.p.A., our indirect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third amended and restated certificate of incorporation provides that we waive any interest or expectancy in corporate opportunities presented to Leonardo S.p.A.); or</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obligations to provide certain services to Leonardo S.p.A., which may divert human and financial resources from our business.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You should read this Quarterly Report completely and with the understanding that actual future results may be materially different from expectations. All forward-looking statements made in this Quarterly Report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25"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 xml:space="preserve">Other risks, uncertainties and factors, including those discussed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2025, could cause our actual results to differ materially from those projected in any forward-looking statements we make. Readers should read the discussion of these factors carefully to better understand the risks and uncertainties inherent in our business and underlying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(738)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3"/>
        </w:trPr>
        <w:tc>
          <w:tcPr>
            <w:tcW w:w="4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1"/>
        </w:trPr>
        <w:tc>
          <w:tcPr>
            <w:tcW w:w="42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
        </w:trPr>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0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
        </w:trPr>
        <w:tc>
          <w:tcPr>
            <w:tcW w:w="4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0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1"/>
        </w:trPr>
        <w:tc>
          <w:tcPr>
            <w:tcW w:w="42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
        </w:trPr>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Earnings before taxes</w:t>
            </w:r>
          </w:p>
        </w:tc>
        <w:tc>
          <w:tcPr>
            <w:tcW w:w="10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 from common stock:</w:t>
            </w: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1"/>
                <w:szCs w:val="21"/>
                <w:color w:val="auto"/>
              </w:rPr>
            </w:pP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0.65</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4"/>
        </w:trPr>
        <w:tc>
          <w:tcPr>
            <w:tcW w:w="42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Other comprehensive (loss) income, net of</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4"/>
        </w:trPr>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2"/>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Pension and other postretirement benefit plan</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2"/>
        </w:trPr>
        <w:tc>
          <w:tcPr>
            <w:tcW w:w="4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60" w:type="dxa"/>
            <w:vAlign w:val="bottom"/>
          </w:tcPr>
          <w:p>
            <w:pPr>
              <w:ind w:left="240"/>
              <w:spacing w:after="0"/>
              <w:rPr>
                <w:sz w:val="20"/>
                <w:szCs w:val="20"/>
                <w:color w:val="auto"/>
              </w:rPr>
            </w:pPr>
            <w:r>
              <w:rPr>
                <w:rFonts w:ascii="Arial" w:cs="Arial" w:eastAsia="Arial" w:hAnsi="Arial"/>
                <w:sz w:val="18"/>
                <w:szCs w:val="18"/>
                <w:color w:val="auto"/>
              </w:rPr>
              <w:t>Net unrealized (loss) gain on derivative</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4260" w:type="dxa"/>
            <w:vAlign w:val="bottom"/>
          </w:tcPr>
          <w:p>
            <w:pPr>
              <w:ind w:left="400"/>
              <w:spacing w:after="0"/>
              <w:rPr>
                <w:sz w:val="20"/>
                <w:szCs w:val="20"/>
                <w:color w:val="auto"/>
              </w:rPr>
            </w:pPr>
            <w:r>
              <w:rPr>
                <w:rFonts w:ascii="Arial" w:cs="Arial" w:eastAsia="Arial" w:hAnsi="Arial"/>
                <w:sz w:val="18"/>
                <w:szCs w:val="18"/>
                <w:color w:val="auto"/>
              </w:rPr>
              <w:t>instruments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4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comprehensive (loss) income, net of</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5"/>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1"/>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20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9"/>
                <w:szCs w:val="19"/>
                <w:color w:val="auto"/>
              </w:rPr>
            </w:pPr>
          </w:p>
        </w:tc>
        <w:tc>
          <w:tcPr>
            <w:tcW w:w="172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5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1"/>
        </w:trPr>
        <w:tc>
          <w:tcPr>
            <w:tcW w:w="728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0"/>
        </w:trPr>
        <w:tc>
          <w:tcPr>
            <w:tcW w:w="72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Pension and other postretirement benefit plan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0"/>
        </w:trPr>
        <w:tc>
          <w:tcPr>
            <w:tcW w:w="728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280" w:type="dxa"/>
            <w:vAlign w:val="bottom"/>
          </w:tcPr>
          <w:p>
            <w:pPr>
              <w:ind w:left="240"/>
              <w:spacing w:after="0"/>
              <w:rPr>
                <w:sz w:val="20"/>
                <w:szCs w:val="20"/>
                <w:color w:val="auto"/>
              </w:rPr>
            </w:pPr>
            <w:r>
              <w:rPr>
                <w:rFonts w:ascii="Arial" w:cs="Arial" w:eastAsia="Arial" w:hAnsi="Arial"/>
                <w:sz w:val="18"/>
                <w:szCs w:val="18"/>
                <w:color w:val="auto"/>
              </w:rPr>
              <w:t>Common stock, $0.01 par value: 350,000,000 shares authorized; 266,711,588 and</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00"/>
              <w:spacing w:after="0"/>
              <w:rPr>
                <w:sz w:val="20"/>
                <w:szCs w:val="20"/>
                <w:color w:val="auto"/>
              </w:rPr>
            </w:pPr>
            <w:r>
              <w:rPr>
                <w:rFonts w:ascii="Arial" w:cs="Arial" w:eastAsia="Arial" w:hAnsi="Arial"/>
                <w:sz w:val="18"/>
                <w:szCs w:val="18"/>
                <w:color w:val="auto"/>
              </w:rPr>
              <w:t>265,822,404 shares issued and outstanding as of September 30, 2026 and</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80" w:type="dxa"/>
            <w:vAlign w:val="bottom"/>
          </w:tcPr>
          <w:p>
            <w:pPr>
              <w:ind w:left="400"/>
              <w:spacing w:after="0"/>
              <w:rPr>
                <w:sz w:val="20"/>
                <w:szCs w:val="20"/>
                <w:color w:val="auto"/>
              </w:rPr>
            </w:pPr>
            <w:r>
              <w:rPr>
                <w:rFonts w:ascii="Arial" w:cs="Arial" w:eastAsia="Arial" w:hAnsi="Arial"/>
                <w:sz w:val="18"/>
                <w:szCs w:val="18"/>
                <w:color w:val="auto"/>
              </w:rPr>
              <w:t>December 31, 2025, respectively</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0"/>
        </w:trPr>
        <w:tc>
          <w:tcPr>
            <w:tcW w:w="72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8" w:name="page9"/>
    <w:bookmarkEnd w:id="8"/>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2025</w:t>
            </w:r>
          </w:p>
        </w:tc>
      </w:tr>
      <w:tr>
        <w:trPr>
          <w:trHeight w:val="25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Defined benefit obligations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5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Proceeds from sales of assets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Purchases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5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decrease in borrowings (maturities of 90 days or less)</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Repayments of borrowings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stock issuance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employee taxes withheld from stock-based awards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
        </w:trPr>
        <w:tc>
          <w:tcPr>
            <w:tcW w:w="7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Dividends paid to related party</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7"/>
        </w:trPr>
        <w:tc>
          <w:tcPr>
            <w:tcW w:w="7400" w:type="dxa"/>
            <w:vAlign w:val="bottom"/>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0"/>
        </w:trPr>
        <w:tc>
          <w:tcPr>
            <w:tcW w:w="74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
        </w:trPr>
        <w:tc>
          <w:tcPr>
            <w:tcW w:w="7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9" w:name="page10"/>
    <w:bookmarkEnd w:id="9"/>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15"/>
                <w:szCs w:val="15"/>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
                <w:szCs w:val="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
                <w:szCs w:val="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2"/>
                <w:szCs w:val="2"/>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47"/>
        </w:trPr>
        <w:tc>
          <w:tcPr>
            <w:tcW w:w="2620" w:type="dxa"/>
            <w:vAlign w:val="bottom"/>
          </w:tcPr>
          <w:p>
            <w:pPr>
              <w:ind w:left="240"/>
              <w:spacing w:after="0"/>
              <w:rPr>
                <w:sz w:val="20"/>
                <w:szCs w:val="20"/>
                <w:color w:val="auto"/>
              </w:rPr>
            </w:pPr>
            <w:r>
              <w:rPr>
                <w:rFonts w:ascii="Arial" w:cs="Arial" w:eastAsia="Arial" w:hAnsi="Arial"/>
                <w:sz w:val="18"/>
                <w:szCs w:val="18"/>
                <w:color w:val="auto"/>
              </w:rPr>
              <w:t>Total comprehensive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activity</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Issuances of stock under</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employee stock purchase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plan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dividends of $0.09 per</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Repurchases of common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stock</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
        </w:trPr>
        <w:tc>
          <w:tcPr>
            <w:tcW w:w="2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Balance as of September 30,</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7"/>
        </w:trPr>
        <w:tc>
          <w:tcPr>
            <w:tcW w:w="2620" w:type="dxa"/>
            <w:vAlign w:val="bottom"/>
          </w:tcPr>
          <w:p>
            <w:pPr>
              <w:ind w:left="240"/>
              <w:spacing w:after="0"/>
              <w:rPr>
                <w:sz w:val="20"/>
                <w:szCs w:val="20"/>
                <w:color w:val="auto"/>
              </w:rPr>
            </w:pPr>
            <w:r>
              <w:rPr>
                <w:rFonts w:ascii="Arial" w:cs="Arial" w:eastAsia="Arial" w:hAnsi="Arial"/>
                <w:sz w:val="18"/>
                <w:szCs w:val="18"/>
                <w:color w:val="auto"/>
              </w:rPr>
              <w:t>Total comprehensive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activity</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Issuances of stock under</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employee stock purchase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plan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dividends of $0.09 per</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Repurchases of common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stock</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
        </w:trPr>
        <w:tc>
          <w:tcPr>
            <w:tcW w:w="2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Balance as of September 30,</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2026</w:t>
            </w: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15"/>
                <w:szCs w:val="15"/>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
                <w:szCs w:val="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
                <w:szCs w:val="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2"/>
                <w:szCs w:val="2"/>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 loss</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Balance as of December 31,</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7"/>
        </w:trPr>
        <w:tc>
          <w:tcPr>
            <w:tcW w:w="2620" w:type="dxa"/>
            <w:vAlign w:val="bottom"/>
          </w:tcPr>
          <w:p>
            <w:pPr>
              <w:ind w:left="240"/>
              <w:spacing w:after="0"/>
              <w:rPr>
                <w:sz w:val="20"/>
                <w:szCs w:val="20"/>
                <w:color w:val="auto"/>
              </w:rPr>
            </w:pPr>
            <w:r>
              <w:rPr>
                <w:rFonts w:ascii="Arial" w:cs="Arial" w:eastAsia="Arial" w:hAnsi="Arial"/>
                <w:sz w:val="18"/>
                <w:szCs w:val="18"/>
                <w:color w:val="auto"/>
              </w:rPr>
              <w:t>Total comprehensive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activity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Issuances of stock under</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employee stock purchase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plan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dividends of $0.27 per</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Repurchases of common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stock</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
        </w:trPr>
        <w:tc>
          <w:tcPr>
            <w:tcW w:w="2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Balance as of September 30,</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47"/>
        </w:trPr>
        <w:tc>
          <w:tcPr>
            <w:tcW w:w="2620" w:type="dxa"/>
            <w:vAlign w:val="bottom"/>
          </w:tcPr>
          <w:p>
            <w:pPr>
              <w:ind w:left="240"/>
              <w:spacing w:after="0"/>
              <w:rPr>
                <w:sz w:val="20"/>
                <w:szCs w:val="20"/>
                <w:color w:val="auto"/>
              </w:rPr>
            </w:pPr>
            <w:r>
              <w:rPr>
                <w:rFonts w:ascii="Arial" w:cs="Arial" w:eastAsia="Arial" w:hAnsi="Arial"/>
                <w:sz w:val="18"/>
                <w:szCs w:val="18"/>
                <w:color w:val="auto"/>
              </w:rPr>
              <w:t>Total comprehensive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activity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Issuances of stock under</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employee stock purchase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plan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dividends of $0.27 per</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4"/>
        </w:trPr>
        <w:tc>
          <w:tcPr>
            <w:tcW w:w="2620" w:type="dxa"/>
            <w:vAlign w:val="bottom"/>
          </w:tcPr>
          <w:p>
            <w:pPr>
              <w:ind w:left="240"/>
              <w:spacing w:after="0"/>
              <w:rPr>
                <w:sz w:val="20"/>
                <w:szCs w:val="20"/>
                <w:color w:val="auto"/>
              </w:rPr>
            </w:pPr>
            <w:r>
              <w:rPr>
                <w:rFonts w:ascii="Arial" w:cs="Arial" w:eastAsia="Arial" w:hAnsi="Arial"/>
                <w:sz w:val="18"/>
                <w:szCs w:val="18"/>
                <w:color w:val="auto"/>
              </w:rPr>
              <w:t>Repurchases of common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400"/>
              <w:spacing w:after="0"/>
              <w:rPr>
                <w:sz w:val="20"/>
                <w:szCs w:val="20"/>
                <w:color w:val="auto"/>
              </w:rPr>
            </w:pPr>
            <w:r>
              <w:rPr>
                <w:rFonts w:ascii="Arial" w:cs="Arial" w:eastAsia="Arial" w:hAnsi="Arial"/>
                <w:sz w:val="18"/>
                <w:szCs w:val="18"/>
                <w:color w:val="auto"/>
              </w:rPr>
              <w:t>stock</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
        </w:trPr>
        <w:tc>
          <w:tcPr>
            <w:tcW w:w="2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Balance as of September 30,</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2026</w:t>
            </w: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1"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Leonardo DRS, Inc., together with its wholly owned subsidiaries (hereinafter, “DRS,” “the Company,” “us,” “our,” or “we”) is a supplier of defense electronics products, systems and military support services. The Company’s largest stockholder is Leonardo S.p.A., an Italian multi-national aerospace, defense and security company headquartered in Rome, Italy, through its ultimate sole ownership of Leonardo US Holding, LLC (“US Holding”). US Holding is the majority stockholder of the Company.</w:t>
      </w:r>
    </w:p>
    <w:p>
      <w:pPr>
        <w:spacing w:after="0" w:line="1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advanced sensing, network computing, force protection and electric power and propulsion.</w:t>
      </w:r>
    </w:p>
    <w:p>
      <w:pPr>
        <w:spacing w:after="0" w:line="12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These capabilities directly align with our two reportable operating segments: Advanced Sensing and Computing (“ASC”) and Integrated Mission Systems (“IMS”). The U.S. government is our largest customer and accounts for approximately 82% and 81% of our total revenues as an end-user for the nine months ended September 30, 2026 and 2025, respectively. Our U.S. government revenues are highly concentrated with the U.S. Department of War, also known as the U.S. Department of Defense (the “DoW”). Specific international and commercial market opportunities exist within these segments and comprise approximately 18% and 19% of our total revenues for the nine months ended September 30, 2026 and 2025, respectively. Our two reportable segments reflect the way performance is assessed and resources are allocated by our Chief Executive Officer, who is our chief operating decision maker (“CODM”).</w:t>
      </w:r>
    </w:p>
    <w:p>
      <w:pPr>
        <w:spacing w:after="0" w:line="129"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(“U.S. GAAP”) and include the accounts of DRS, its wholly owned subsidiaries and its controlling interests and contain all adjustments, which are of a normal and recurring nature, considered necessary by management to present fairly the financial position, results of operations and cash flows for the periods presented. Interests in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w:t>
      </w:r>
    </w:p>
    <w:p>
      <w:pPr>
        <w:spacing w:after="0" w:line="12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These estimates and assumptions include those relating to the recognition of contract revenues and estimated costs to complete contracts in process, recoverability of reported amounts of goodwill and intangible assets, valuation of acquired intangibles, accounting for business combinations, valuation of pensions and other postretirement benefits, the valuation of deferred tax assets and liabilities and the valuation of unrecognized tax benefits. Actual results could differ from these estimates.</w:t>
      </w:r>
    </w:p>
    <w:p>
      <w:pPr>
        <w:spacing w:after="0" w:line="12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unaudited Consolidated Financial Statements have been prepared pursuant to the rules and regulations of the Securities and Exchange Commission (“SEC”). These rules and regulations permit some of the information and footnote disclosures included in financial statements prepared in accordance with U.S. GAAP to be condensed or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These unaudited Consolidated Financial Statements should be read in conjunction with our audited Consolidated Financial Statements included in our Annual Report on Form 10-K for the year ended December 31, 2025.</w:t>
      </w:r>
    </w:p>
    <w:p>
      <w:pPr>
        <w:spacing w:after="0" w:line="99"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6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In November 2024, the Financial Accounting Standards Board (the “FASB”) issued Accounting Standards Update (“ASU”) 2024-03, </w:t>
      </w:r>
      <w:r>
        <w:rPr>
          <w:rFonts w:ascii="Arial" w:cs="Arial" w:eastAsia="Arial" w:hAnsi="Arial"/>
          <w:sz w:val="18"/>
          <w:szCs w:val="18"/>
          <w:i w:val="1"/>
          <w:iCs w:val="1"/>
          <w:color w:val="auto"/>
        </w:rPr>
        <w:t>Income Statement—Reporting Comprehensive Income—Expense Disaggregation Disclosures (Subtopic 220-40): Disaggregation of Income Statement Expenses</w:t>
      </w:r>
      <w:r>
        <w:rPr>
          <w:rFonts w:ascii="Arial" w:cs="Arial" w:eastAsia="Arial" w:hAnsi="Arial"/>
          <w:sz w:val="18"/>
          <w:szCs w:val="18"/>
          <w:color w:val="auto"/>
        </w:rPr>
        <w:t>, which requires disclosure of specified information about certain costs and expenses. The new standard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years beginning after December 15, 2026 and interim periods within fiscal years beginning after December 15, 2027, and may be applied on a prospective or retrospective basis. We are currently evaluating the impact of adopting this new pronouncement.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Targeted Improvements to the Accounting for Internal-Use Software</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which removes references to project stages, requiring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 internal-use software costs when management commits to funding the software project and it is probable the project will be completed. The new standard is effective for fiscal years beginning after December 15, 2027 and interim periods within those fiscal years, and may be applied on a prospective, modified transition, or retrospective transition basis. We are currently evaluating the impact of adopting this new pronouncement.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Government Grants Received by Business Entities</w:t>
      </w:r>
    </w:p>
    <w:p>
      <w:pPr>
        <w:spacing w:after="0" w:line="169" w:lineRule="exact"/>
        <w:rPr>
          <w:sz w:val="20"/>
          <w:szCs w:val="20"/>
          <w:color w:val="auto"/>
        </w:rPr>
      </w:pPr>
    </w:p>
    <w:p>
      <w:pPr>
        <w:ind w:right="80" w:firstLine="324"/>
        <w:spacing w:after="0" w:line="282" w:lineRule="auto"/>
        <w:rPr>
          <w:sz w:val="20"/>
          <w:szCs w:val="20"/>
          <w:color w:val="auto"/>
        </w:rPr>
      </w:pPr>
      <w:r>
        <w:rPr>
          <w:rFonts w:ascii="Arial" w:cs="Arial" w:eastAsia="Arial" w:hAnsi="Arial"/>
          <w:sz w:val="17"/>
          <w:szCs w:val="17"/>
          <w:color w:val="auto"/>
        </w:rPr>
        <w:t xml:space="preserve">In December 2025, the FASB issued ASU 2025-10, </w:t>
      </w:r>
      <w:r>
        <w:rPr>
          <w:rFonts w:ascii="Arial" w:cs="Arial" w:eastAsia="Arial" w:hAnsi="Arial"/>
          <w:sz w:val="17"/>
          <w:szCs w:val="17"/>
          <w:i w:val="1"/>
          <w:iCs w:val="1"/>
          <w:color w:val="auto"/>
        </w:rPr>
        <w:t>Government Grants (Topic 832)—Accounting for Government Grants Received by</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Entities</w:t>
      </w:r>
      <w:r>
        <w:rPr>
          <w:rFonts w:ascii="Arial" w:cs="Arial" w:eastAsia="Arial" w:hAnsi="Arial"/>
          <w:sz w:val="17"/>
          <w:szCs w:val="17"/>
          <w:color w:val="auto"/>
        </w:rPr>
        <w:t>, which establishes the accounting for government grants received by business entities. The new standard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years beginning after December 15, 2028 and interim periods within those fiscal years, and may be applied on a modified prospective, modified retrospective, or retrospective transition basis. We are currently evaluating the impact of adopting this new pronouncement.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Revenues for the majority of our contracts are measured using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transaction price and total cost at completion often requires judgment. The estimated transaction price may include variable consideration such as performance incentives, requests for equitable adjustment (“REAs”) and claims. Variable consideration is included in the estimated transaction price only to the extent it is probable that a significant reversal of cumulative revenue recognized will not occur when the uncertainty associated with the variable consideration is subsequently resolved. Factors that must be considered in estimating the cost of the work to be completed include the nature and complexity of the work to be performed, subcontractor performance and the risk and impact of delayed performance.</w:t>
      </w:r>
    </w:p>
    <w:p>
      <w:pPr>
        <w:spacing w:after="0" w:line="12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After establishing the estimated total cost at completion, we follow a standard Estimate at Completion (“EAC”) process in which we review the progress and performance on our ongoing contracts on a routine basis. Adjustments to original estimates for a contract's revenue, estimated costs at completion and estimated profit or loss often are required as work progresses under a contract, as experience is gained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and as more information is obtained, even though the scope of work required under the contract may not change and are also required if contract modifications occur. When adjustments in estimated total costs at completion are determined, the related impact on revenue and operating earnings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EAC adjustments had the following impacts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32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and operating earnings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r>
      <w:tr>
        <w:trPr>
          <w:trHeight w:val="247"/>
        </w:trPr>
        <w:tc>
          <w:tcPr>
            <w:tcW w:w="398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74"/>
        </w:trPr>
        <w:tc>
          <w:tcPr>
            <w:tcW w:w="3980" w:type="dxa"/>
            <w:vAlign w:val="bottom"/>
          </w:tcPr>
          <w:p>
            <w:pPr>
              <w:ind w:left="20"/>
              <w:spacing w:after="0"/>
              <w:rPr>
                <w:sz w:val="20"/>
                <w:szCs w:val="20"/>
                <w:color w:val="auto"/>
              </w:rPr>
            </w:pPr>
            <w:r>
              <w:rPr>
                <w:rFonts w:ascii="Arial" w:cs="Arial" w:eastAsia="Arial" w:hAnsi="Arial"/>
                <w:sz w:val="18"/>
                <w:szCs w:val="18"/>
                <w:color w:val="auto"/>
              </w:rPr>
              <w:t>Impact on 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6"/>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(0.01)</w:t>
            </w:r>
          </w:p>
        </w:tc>
      </w:tr>
    </w:tbl>
    <w:p>
      <w:pPr>
        <w:spacing w:after="0" w:line="139"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The impacts noted above are attributed primarily to changes in our fixed-price programs. As changes happen in the design required to achieve contractual specifications, those changes often result in a change in the programs’ estimates and related profitability.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 Contract assets and contract liabilities as of the dates presented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72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585</w:t>
            </w:r>
          </w:p>
        </w:tc>
      </w:tr>
    </w:tbl>
    <w:p>
      <w:pPr>
        <w:spacing w:after="0" w:line="261"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Revenue recognized in the nine months ended September 30, 2026 and 2025, that was included in the contract liability balance at the beginning of each period was $411 million and $270 million,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of Remaining Performance Obligations</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of September 30, 2026, the total value of our remaining performance obligations was $ 9,381 million. We expect to recognize approximately 40% of our September 30, 2026 remaining performance obligations as revenue over the next twelve months, with the remainder to be recognized thereafter. Approximately 40% of our remaining performance obligations relates to long-term contracts on electric power and propulsion programs with the U.S. Navy, which are expected to be recognized as revenue over a span of up to 11 years.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ASC</w:t>
      </w:r>
      <w:r>
        <w:rPr>
          <w:rFonts w:ascii="Arial" w:cs="Arial" w:eastAsia="Arial" w:hAnsi="Arial"/>
          <w:sz w:val="18"/>
          <w:szCs w:val="18"/>
          <w:color w:val="auto"/>
        </w:rPr>
        <w:t>: ASC revenue is primarily derived from U.S. government development and production contracts and is generally recognized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over time, percentage of completion cost-to-cost method of accounting. We disaggregate ASC revenue by geographical region, customer relationship and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type. We believe these categories best depict how the nature, amount, timing and uncertainty of ASC revenue and cash flows are affected by economic factors.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1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1"/>
                <w:szCs w:val="21"/>
                <w:color w:val="auto"/>
              </w:rPr>
            </w:pPr>
          </w:p>
        </w:tc>
        <w:tc>
          <w:tcPr>
            <w:tcW w:w="1240" w:type="dxa"/>
            <w:vAlign w:val="bottom"/>
          </w:tcPr>
          <w:p>
            <w:pPr>
              <w:jc w:val="right"/>
              <w:ind w:right="10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1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Fixed-price</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1"/>
                <w:szCs w:val="21"/>
                <w:color w:val="auto"/>
              </w:rPr>
            </w:pPr>
          </w:p>
        </w:tc>
        <w:tc>
          <w:tcPr>
            <w:tcW w:w="1240" w:type="dxa"/>
            <w:vAlign w:val="bottom"/>
          </w:tcPr>
          <w:p>
            <w:pPr>
              <w:jc w:val="right"/>
              <w:ind w:right="10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Includes revenue derived from cost-plus and time-and-materials contracts.</w:t>
      </w:r>
    </w:p>
    <w:p>
      <w:pPr>
        <w:spacing w:after="0" w:line="146"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i w:val="1"/>
          <w:iCs w:val="1"/>
          <w:color w:val="auto"/>
        </w:rPr>
        <w:t>IMS</w:t>
      </w:r>
      <w:r>
        <w:rPr>
          <w:rFonts w:ascii="Arial" w:cs="Arial" w:eastAsia="Arial" w:hAnsi="Arial"/>
          <w:sz w:val="18"/>
          <w:szCs w:val="18"/>
          <w:color w:val="auto"/>
        </w:rPr>
        <w:t>: IMS revenue is primarily derived from U.S. government development and production contracts and is generally recognized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over time, percentage of completion cost-to-cost method of accounting. We disaggregate IMS revenue by geographical region, customer relationship and contract type. We believe these categories best depict how the nature, amount, timing and uncertainty of IMS revenue and cash flows are affected by economic factors.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Fixed-price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Includes revenue derived from cost-plus and time-and-materials contracts.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72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As of September 30, 2026 and December 31, 2025, the Company has $57 million and $53 million of noncurrent accounts receivable, respectively, that are included in other noncurrent assets in our Consolidated Balance Sheets.</w:t>
      </w:r>
    </w:p>
    <w:p>
      <w:pPr>
        <w:spacing w:after="0" w:line="9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 xml:space="preserve">The Company maintains certain agreements with financial institutions to sell certain trade receivables. See </w:t>
      </w:r>
      <w:r>
        <w:rPr>
          <w:rFonts w:ascii="Arial" w:cs="Arial" w:eastAsia="Arial" w:hAnsi="Arial"/>
          <w:sz w:val="18"/>
          <w:szCs w:val="18"/>
          <w:i w:val="1"/>
          <w:iCs w:val="1"/>
          <w:color w:val="auto"/>
        </w:rPr>
        <w:t>Note 4: Sale of Receivables</w:t>
      </w:r>
      <w:r>
        <w:rPr>
          <w:rFonts w:ascii="Arial" w:cs="Arial" w:eastAsia="Arial" w:hAnsi="Arial"/>
          <w:sz w:val="18"/>
          <w:szCs w:val="18"/>
          <w:color w:val="auto"/>
        </w:rPr>
        <w:t xml:space="preserve">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Sale of Receivables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Company is party to factoring facilities with various financial institutions (the “purchasers”) with an aggregate capacity of $175 million and $225 million as of September 30, 2026 and December 31, 2025, respectively.</w:t>
      </w:r>
    </w:p>
    <w:p>
      <w:pPr>
        <w:spacing w:after="0" w:line="99"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During the nine months ended September 30, 2026 and 2025, the Company incurred immaterial purchase discount fees, which are presented in general and administrative expenses on the Consolidated Statements of Earnings.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activity under the factoring facilities: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2025</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7"/>
        </w:trPr>
        <w:tc>
          <w:tcPr>
            <w:tcW w:w="7260" w:type="dxa"/>
            <w:vAlign w:val="bottom"/>
          </w:tcPr>
          <w:p>
            <w:pPr>
              <w:ind w:left="140"/>
              <w:spacing w:after="0"/>
              <w:rPr>
                <w:sz w:val="20"/>
                <w:szCs w:val="20"/>
                <w:color w:val="auto"/>
              </w:rPr>
            </w:pPr>
            <w:r>
              <w:rPr>
                <w:rFonts w:ascii="Arial" w:cs="Arial" w:eastAsia="Arial" w:hAnsi="Arial"/>
                <w:sz w:val="18"/>
                <w:szCs w:val="18"/>
                <w:color w:val="auto"/>
              </w:rPr>
              <w:t>Sales of receivables</w:t>
            </w:r>
          </w:p>
        </w:tc>
        <w:tc>
          <w:tcPr>
            <w:tcW w:w="4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
        </w:trPr>
        <w:tc>
          <w:tcPr>
            <w:tcW w:w="7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returned to purchasers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Outstanding balance sold to purchasers</w:t>
            </w: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collected, not remitted to purchasers</w:t>
            </w:r>
            <w:r>
              <w:rPr>
                <w:rFonts w:ascii="Arial" w:cs="Arial" w:eastAsia="Arial" w:hAnsi="Arial"/>
                <w:sz w:val="23"/>
                <w:szCs w:val="23"/>
                <w:color w:val="auto"/>
                <w:vertAlign w:val="superscript"/>
              </w:rPr>
              <w:t>(1)</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Remaining sold receivables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
        </w:trPr>
        <w:tc>
          <w:tcPr>
            <w:tcW w:w="7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ind w:left="340" w:right="320" w:hanging="332"/>
        <w:spacing w:after="0" w:line="270"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cash collected on behalf of purchasers and not yet remitted. This balance is included within short-term borrowings and current portion of long-term debt in the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0"/>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3"/>
        </w:trPr>
        <w:tc>
          <w:tcPr>
            <w:tcW w:w="7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by major asset class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buildings and improvements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Plant and machinery</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1"/>
        </w:trPr>
        <w:tc>
          <w:tcPr>
            <w:tcW w:w="7260" w:type="dxa"/>
            <w:vAlign w:val="bottom"/>
          </w:tcPr>
          <w:p>
            <w:pPr>
              <w:ind w:left="20"/>
              <w:spacing w:after="0"/>
              <w:rPr>
                <w:sz w:val="20"/>
                <w:szCs w:val="20"/>
                <w:color w:val="auto"/>
              </w:rPr>
            </w:pPr>
            <w:r>
              <w:rPr>
                <w:rFonts w:ascii="Arial" w:cs="Arial" w:eastAsia="Arial" w:hAnsi="Arial"/>
                <w:sz w:val="18"/>
                <w:szCs w:val="18"/>
                <w:color w:val="auto"/>
              </w:rPr>
              <w:t>Total property, plant and equipment, at cost</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r>
      <w:tr>
        <w:trPr>
          <w:trHeight w:val="2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41"/>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3"/>
        </w:trPr>
        <w:tc>
          <w:tcPr>
            <w:tcW w:w="7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firstLine="324"/>
        <w:spacing w:after="0" w:line="318" w:lineRule="auto"/>
        <w:rPr>
          <w:sz w:val="20"/>
          <w:szCs w:val="20"/>
          <w:color w:val="auto"/>
        </w:rPr>
      </w:pPr>
      <w:r>
        <w:rPr>
          <w:rFonts w:ascii="Arial" w:cs="Arial" w:eastAsia="Arial" w:hAnsi="Arial"/>
          <w:sz w:val="17"/>
          <w:szCs w:val="17"/>
          <w:color w:val="auto"/>
        </w:rPr>
        <w:t>Depreciation expense related to property, plant and equipment was $ 22 million and $61 million for the three and nine months ended September 30, 2026, respectively, and $18 million and $53 million for the three and nine months ended September 30, 2025,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significant other liabilities by balance sheet caption: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Salaries, wages and accrued bonuses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Fringe benefits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contract losses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Taxes payable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Warranty reserves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368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other current liabilities</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Warranty reserves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
        </w:trPr>
        <w:tc>
          <w:tcPr>
            <w:tcW w:w="2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noncurrent liabilities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8. Intangible Assets</w:t>
            </w: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23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680" w:type="dxa"/>
            <w:vAlign w:val="bottom"/>
            <w:gridSpan w:val="4"/>
          </w:tcPr>
          <w:p>
            <w:pPr>
              <w:ind w:left="340"/>
              <w:spacing w:after="0"/>
              <w:rPr>
                <w:sz w:val="20"/>
                <w:szCs w:val="20"/>
                <w:color w:val="auto"/>
              </w:rPr>
            </w:pPr>
            <w:r>
              <w:rPr>
                <w:rFonts w:ascii="Arial" w:cs="Arial" w:eastAsia="Arial" w:hAnsi="Arial"/>
                <w:sz w:val="18"/>
                <w:szCs w:val="18"/>
                <w:color w:val="auto"/>
              </w:rPr>
              <w:t>Intangible assets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2026</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w:t>
            </w:r>
          </w:p>
        </w:tc>
        <w:tc>
          <w:tcPr>
            <w:tcW w:w="15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6"/>
                <w:szCs w:val="16"/>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205"/>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Acquired intangible assets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Patents and licenses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2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Total intangible assets   </w:t>
            </w: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Amortization expense related to acquired intangible assets was $5 million for the three months ended September 30, 2026 and 2025, and $16 million for the nine months ended September 30, 2026 and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effective tax rate was 0.9% and 10.2% for the three and nine months ended September 30, 2026, respectively, and 17.2% and 17.0% for the three and nine months ended September 30, 2025, respectively. For the three and nine months ended September 30, 2026, the effective tax rate was lower than the statutory rate primarily due to the recognition of discrete tax benefits associated with the reduction in unrecognized tax benefits, excess tax benefits from the vesting of stock-based awards and the purchase of tax credits at a discount to face value. For the nine months ended September 30, 2025, the effective tax rate was lower than the statutory rate primarily due to excess tax benefits from the vesting of stock-based awards. During the three and nine months ended September 30, 2026, the Company recognized an income tax benefit of approximately $22 million from the release of unrecognized tax benefits in connection with a short period return for 2022 following the expiration of the applicable statute of limitations. During the three and nine months ended September 30, 2026, the Company purchased approximately $20 million in tax credits for approximately $18 million in cash. The purchased tax credits will be utilized to partially offset the Company’s Federal and New Jersey tax liabilities for 2025.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Pr>
          <w:p>
            <w:pPr>
              <w:spacing w:after="0"/>
              <w:rPr>
                <w:sz w:val="17"/>
                <w:szCs w:val="17"/>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 Term Loan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1"/>
                <w:szCs w:val="2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Finance leases and other</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r>
      <w:tr>
        <w:trPr>
          <w:trHeight w:val="283"/>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related to factoring facilities (Note 4)</w:t>
            </w:r>
          </w:p>
        </w:tc>
        <w:tc>
          <w:tcPr>
            <w:tcW w:w="2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256"/>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Total debt principal</w:t>
            </w:r>
          </w:p>
        </w:tc>
        <w:tc>
          <w:tcPr>
            <w:tcW w:w="2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top w:val="single" w:sz="8" w:color="auto"/>
            </w:tcBorders>
          </w:tcPr>
          <w:p>
            <w:pPr>
              <w:spacing w:after="0"/>
              <w:rPr>
                <w:sz w:val="22"/>
                <w:szCs w:val="22"/>
                <w:color w:val="auto"/>
              </w:rPr>
            </w:pPr>
          </w:p>
        </w:tc>
      </w:tr>
      <w:tr>
        <w:trPr>
          <w:trHeight w:val="291"/>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discounts</w:t>
            </w:r>
          </w:p>
        </w:tc>
        <w:tc>
          <w:tcPr>
            <w:tcW w:w="2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256"/>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Total debt, net</w:t>
            </w:r>
          </w:p>
        </w:tc>
        <w:tc>
          <w:tcPr>
            <w:tcW w:w="2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top w:val="single" w:sz="8" w:color="auto"/>
            </w:tcBorders>
          </w:tcPr>
          <w:p>
            <w:pPr>
              <w:spacing w:after="0"/>
              <w:rPr>
                <w:sz w:val="22"/>
                <w:szCs w:val="22"/>
                <w:color w:val="auto"/>
              </w:rPr>
            </w:pPr>
          </w:p>
        </w:tc>
      </w:tr>
      <w:tr>
        <w:trPr>
          <w:trHeight w:val="291"/>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r>
      <w:tr>
        <w:trPr>
          <w:trHeight w:val="26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Total 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-1439545</wp:posOffset>
            </wp:positionV>
            <wp:extent cx="7140575" cy="1234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234440"/>
                    </a:xfrm>
                    <a:prstGeom prst="rect">
                      <a:avLst/>
                    </a:prstGeom>
                    <a:noFill/>
                  </pic:spPr>
                </pic:pic>
              </a:graphicData>
            </a:graphic>
          </wp:anchor>
        </w:drawing>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November 2022, the Company entered into a senior unsecured credit agreement with Bank of America, N.A. in the amount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$500 million (the “2022 Credit Agreement”) with a maturity of November 29, 2027. The 2022 Credit Agreement provided for a term loan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Term Loan A”) of $225 million. The fair value of the 2022 Term Loan A was approximately $190 million at December 31, 2025. The fair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of the Company’s outstanding debt obligations is calculated using Level 2 inputs, based on interest rates available for debt with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maturities similar to the Company’s existing debt arrangements.</w:t>
      </w:r>
    </w:p>
    <w:p>
      <w:pPr>
        <w:spacing w:after="0" w:line="153" w:lineRule="exact"/>
        <w:rPr>
          <w:sz w:val="20"/>
          <w:szCs w:val="20"/>
          <w:color w:val="auto"/>
        </w:rPr>
      </w:pPr>
    </w:p>
    <w:p>
      <w:pPr>
        <w:ind w:right="400" w:firstLine="324"/>
        <w:spacing w:after="0" w:line="318" w:lineRule="auto"/>
        <w:rPr>
          <w:sz w:val="20"/>
          <w:szCs w:val="20"/>
          <w:color w:val="auto"/>
        </w:rPr>
      </w:pPr>
      <w:r>
        <w:rPr>
          <w:rFonts w:ascii="Arial" w:cs="Arial" w:eastAsia="Arial" w:hAnsi="Arial"/>
          <w:sz w:val="17"/>
          <w:szCs w:val="17"/>
          <w:color w:val="auto"/>
        </w:rPr>
        <w:t>In January 2026, the Company repaid the remaining outstanding balance of the 2022 Term Loan A in the amount of $191 million and terminated the 2022 Credit Agreement. There was no prepayment penalty or other fee associated with prepaying the principal balance.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6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2022 Credit Agreement provided for a revolving credit facility available for the working capital needs of the Company (the “2022 Revolving Credit Facility”). As of December 31, 2025, the 2022 Revolving Credit Facility had a limit of $275 million. There was no outstanding balance on the 2022 Revolving Credit Facility as of December 31, 2025. As noted above, the 2022 Credit Agreement was terminated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January 2026, the Company entered into a senior unsecured credit agreement with JPMorgan Chase Bank N.A. and the other lenders party thereto (the “2026 Credit Agreement”). The 2026 Credit Agreement provides for a revolving credit facility available for the working capital requirements of the Company (the “2026 Revolving Credit Facility”). The 2026 Revolving Credit Facility has a limit of $ 500 million and expires in January 2031. There was no outstanding balance on the 2026 Revolving Credit Facility as of September 30, 2026. Loans under the 2026 Revolving Credit Facility bear interest at a variable rate generally based on the Secured Overnight Financing Rate (“SOFR”), plus a spread ranging from 1.25% to 1.63% depending on the leverage ratio, as defined in the 2026 Credit Agreement, or an alternative variable rate based on the higher of the prime rate, as defined in the 2026 Credit Agreement, the federal funds rate, or a rate generally based on the SOFR, in each case subject to an additional basis point spread as defined in the 2026 Credit Agreement. The Company also pays a commitment fee ranging between 0.15% and 0.30% depending on the Company’s leverage ratio applied to the unused balance of the 2026 Revolving Credit Facility. The 2026 Credit Agreement allows for up to $75 million of the 2026 Revolving Credit Facility to be used to issue letters of credit in support of Company contracts. As of September 30, 2026, the Company had outstanding letters of credit against the 2026 Revolving Credit Facility of $9 million.</w:t>
      </w:r>
    </w:p>
    <w:p>
      <w:pPr>
        <w:spacing w:after="0" w:line="13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to the letters of credit issued under the 2026 Revolving Credit Facility, the Company maintains uncommitted working capital credit facilities with certain financial institutions in the aggregate of $105 million at September 30, 2026 and December 31, 2025 (the “Financial Institution Credit Facilities”). The sole purpose of the Financial Institution Credit Facilities is to support standby letter of credit issuances on contracts with customers. The Company had letters of credit outstanding of approximately $48 million and $54 million as of September 30, 2026 and December 31, 2025, respectively, which reduce the available capacity of the Financial Institution Credit Facilities by an equal amount.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debt as of September 30, 2026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3"/>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24"/>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(“EPS”), Stock Repurchases and Dividends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55"/>
        </w:trPr>
        <w:tc>
          <w:tcPr>
            <w:tcW w:w="4260" w:type="dxa"/>
            <w:vAlign w:val="bottom"/>
          </w:tcPr>
          <w:p>
            <w:pPr>
              <w:ind w:left="20"/>
              <w:spacing w:after="0" w:line="156" w:lineRule="exact"/>
              <w:rPr>
                <w:sz w:val="20"/>
                <w:szCs w:val="20"/>
                <w:color w:val="auto"/>
              </w:rPr>
            </w:pPr>
            <w:r>
              <w:rPr>
                <w:rFonts w:ascii="Arial" w:cs="Arial" w:eastAsia="Arial" w:hAnsi="Arial"/>
                <w:sz w:val="18"/>
                <w:szCs w:val="18"/>
                <w:color w:val="auto"/>
              </w:rPr>
              <w:t>Basic weighted average number of shares</w:t>
            </w:r>
          </w:p>
        </w:tc>
        <w:tc>
          <w:tcPr>
            <w:tcW w:w="3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266.8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41"/>
        </w:trPr>
        <w:tc>
          <w:tcPr>
            <w:tcW w:w="42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dilutive stock-based awards</w:t>
            </w: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56"/>
        </w:trPr>
        <w:tc>
          <w:tcPr>
            <w:tcW w:w="4260" w:type="dxa"/>
            <w:vAlign w:val="bottom"/>
          </w:tcPr>
          <w:p>
            <w:pPr>
              <w:ind w:left="20"/>
              <w:spacing w:after="0" w:line="156" w:lineRule="exact"/>
              <w:rPr>
                <w:sz w:val="20"/>
                <w:szCs w:val="20"/>
                <w:color w:val="auto"/>
              </w:rPr>
            </w:pPr>
            <w:r>
              <w:rPr>
                <w:rFonts w:ascii="Arial" w:cs="Arial" w:eastAsia="Arial" w:hAnsi="Arial"/>
                <w:sz w:val="18"/>
                <w:szCs w:val="18"/>
                <w:color w:val="auto"/>
              </w:rPr>
              <w:t>Diluted weighted average number of shares</w:t>
            </w:r>
          </w:p>
        </w:tc>
        <w:tc>
          <w:tcPr>
            <w:tcW w:w="3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268.3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268.6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41"/>
        </w:trPr>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63"/>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Basic EPS is computed by dividing net earnings by the weighted average number of shares of common stock outstanding during each period. The computation of diluted EPS includes the dilutive effect of outstanding stock-based compensation awards (which primarily consist of employee stock options, restricted stock units, and performance-based restricted stock units).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On February 20, 2025, the Company announced that its Board of Directors (the “Board”) approved a stock repurchase program that allows the Company to purchase up to $75 million of its outstanding common stock through March 4, 2027, subject to market conditions. As of September 30, 2026, the Company has repurchased approximately $62 million under the program. The Company retires its common stock upon repurchase with the excess over par value allocated to additional paid-in capital.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69"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The Company declared and paid a quarterly dividend of $0.09 per share of its common stock during the three months ended September 30, 2026. Subsequent to quarter end, the Company’s Board declared a cash dividend of $0.09 per share of common stock payable on November 25, 2026 to stockholders of record as of the close of business on November 12,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commitments are primarily related to our lease agreements, purchase obligations, and credit agreements.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6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 The Company reviews the developments in contingencies that could affect the amount of the reserves that have been previously recorded. The Company adjusts provisions and changes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disclosures accordingly to reflect the impact of negotiations, settlements, rulings, advice of legal counsel, and updated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to determine both the probability and the estimated amount of any potential losses.</w:t>
      </w:r>
    </w:p>
    <w:p>
      <w:pPr>
        <w:spacing w:after="0" w:line="15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22"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Management believes that adequate provisions for such potential audits, investigations, claims and contract adjustments, if any, have been made in the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has related party sales and purchases with Leonardo S.p.A., our indirect majority stockholder, and its other affiliates that occur in the regular course of business. Related party sales are included in revenues and were $5 million and $11 million for the three and nine months ended September 30, 2026, respectively, and $4 million and $11 million for the three and nine months ended September 30, 2025, respectively. Related party purchases are included in cost of revenues and were immaterial for the three and nine months ended September 30, 2026 and 2025. The receivables with the indirect majority stockholder and its other affiliates of $9 million and $5 million, respectively, and payables of $4 million and $5 million, respectively, as of September 30, 2026 and December 31, 2025, are included in accounts receivable, net and accounts payable in our Consolidated Balance Sheets. In addition, there were related party balances in contract assets of $6 million and $16 million at September 30, 2026 and December 31, 2025, respectively.</w:t>
      </w:r>
    </w:p>
    <w:p>
      <w:pPr>
        <w:spacing w:after="0" w:line="1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an investment of $21 million in the preferred stock of a private company that is included in other noncurrent assets in our Consolidated Balance Sheets. The Company holds two board seats in the investee. Related party sales to this company were $3 million and $6 million for the three and nine months ended September 30, 2026, respectively. The Company had immaterial related party balances in accounts receivable with this company at September 30, 2026. The Company had $10 million and $6 million of related party balances in contract assets with this company at September 30, 2026 and December 31, 2025,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7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Operating segments represent components of an enterprise for which separate financial information is available that is regularly reviewed by the CODM in determining how to allocate resources and assess performance. The Company’s operating and reportable segments consist of ASC and IMS. All other operations, which consist primarily of DRS corporate headquarters and certain non-operating subsidiaries of the Company, are grouped in Corporate &amp; Eliminations.</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CODM primarily uses operating earnings to manage the Company and allocate resources. Operating earnings is used to facilitate a comparison of the ordinary, ongoing and customary course of our operations on a consistent basis from period to period and provide an additional understanding of factors and trends affecting our business segments.</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Certain information related to our segments for the periods ended September 30, 2026 and 2025 is presented in the following tables. Consistent accounting policies have been applied by all segments within the Company, within all reporting periods. Intersegment sales are generally transferred at cost to the buying segment, and the sourcing segment does not recognize a profit. Such intercompany operating earnings is eliminated in consolidation, so that the Company’s total revenues and operating earnings reflect only those transactions with external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26"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expenses, and operating earnings by segment and the reconciliation to earnings before taxes for the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and 2025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general and administrative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Company-funded independent research and</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development</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w w:val="99"/>
              </w:rPr>
              <w:t>Total company-funded independent research and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5"/>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development</w:t>
            </w: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3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 of acquired intangible assets</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amortization of acquired intangible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 items</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segment items</w:t>
            </w:r>
            <w:r>
              <w:rPr>
                <w:rFonts w:ascii="Arial" w:cs="Arial" w:eastAsia="Arial" w:hAnsi="Arial"/>
                <w:sz w:val="23"/>
                <w:szCs w:val="23"/>
                <w:b w:val="1"/>
                <w:bCs w:val="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earnings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ASC</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earnings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income (expense), net</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7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Earnings before taxes</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ASC restructuring costs for the periods presented.</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Total intersegment revenues by segment for the periods ended September 30, 2026 and 2025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IMS</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intersegment revenues</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by segment for the periods ended September 30, 2026 and 2025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7"/>
                <w:szCs w:val="17"/>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IMS</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
        </w:trPr>
        <w:tc>
          <w:tcPr>
            <w:tcW w:w="4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8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 by segment as of September 30, 2026 and December 31, 2025,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2025</w:t>
            </w: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47"/>
        </w:trPr>
        <w:tc>
          <w:tcPr>
            <w:tcW w:w="7280" w:type="dxa"/>
            <w:vAlign w:val="bottom"/>
          </w:tcPr>
          <w:p>
            <w:pPr>
              <w:ind w:left="20"/>
              <w:spacing w:after="0"/>
              <w:rPr>
                <w:sz w:val="20"/>
                <w:szCs w:val="20"/>
                <w:color w:val="auto"/>
              </w:rPr>
            </w:pPr>
            <w:r>
              <w:rPr>
                <w:rFonts w:ascii="Arial" w:cs="Arial" w:eastAsia="Arial" w:hAnsi="Arial"/>
                <w:sz w:val="18"/>
                <w:szCs w:val="18"/>
                <w:color w:val="auto"/>
              </w:rPr>
              <w:t>IMS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&amp;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6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w:t>
            </w: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Acquisitions</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On July 28, 2026, the Company announced that it entered into a definitive agreement to acquire Raft LLC, an open-architecture mission software company focused on multi-domain data fusion and artificial intelligence for U.S. government and defense customers, for $450 million. We expect to fund the acquisition with cash on hand and borrowings under our 2026 Revolving Credit Facility. The transaction is subject to customary closing conditions and regulatory approvals, and is expected to close in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 w:name="page24"/>
    <w:bookmarkEnd w:id="23"/>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firstLine="324"/>
        <w:spacing w:after="0" w:line="285" w:lineRule="auto"/>
        <w:rPr>
          <w:sz w:val="20"/>
          <w:szCs w:val="20"/>
          <w:color w:val="auto"/>
        </w:rPr>
      </w:pPr>
      <w:r>
        <w:rPr>
          <w:rFonts w:ascii="Arial" w:cs="Arial" w:eastAsia="Arial" w:hAnsi="Arial"/>
          <w:sz w:val="18"/>
          <w:szCs w:val="18"/>
          <w:i w:val="1"/>
          <w:iCs w:val="1"/>
          <w:color w:val="auto"/>
        </w:rPr>
        <w:t>You should read this discussion together with our Consolidated Financial Statements and related notes thereto included elsewhere in this Quarterly Report.</w:t>
      </w:r>
    </w:p>
    <w:p>
      <w:pPr>
        <w:spacing w:after="0" w:line="1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This discussion and other parts of this Quarterly Report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discussed under “Special Note Regarding Forward-Looking Statements and Information” in this Quarterly Report and under “Risk Factors” in our Annual Report on Form 10-K for the year ended December 31, 2025. Actual results may differ materially from those contained in any forward-looking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Considerations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DRS is an innovative and agile provider of advanced defense technology to U.S. national security customers and allies around the world. We specialize in the design, development and manufacture of advanced sensing, network computing, force protection, and electric power and propulsion technologies and solutions. The strength of our market positioning in these technology areas has created a foundational and diverse base of programs across the DoW and its allies. We believe these technologies will not only support our customers in today’s mission but will also underpin their strategy to migrate towards more autonomous, dynamic, interconnected, and multi-domain capabilities needed to address evolving and emerging threats. We view more advanced capabilities in sensing, computing, self-protection and power as necessary to enable these strategic priorities.</w:t>
      </w:r>
    </w:p>
    <w:p>
      <w:pPr>
        <w:spacing w:after="0" w:line="1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overall strategy is to be a balanced and diversified company, less vulnerable to any one budgetary platform or service decision with a specific focus on establishing strong technical and market positions in areas of priority for the DoW. The U.S. government, primarily the DoW, is our largest customer and, for the nine months ended September 30, 2026, accounted for approximately 82% of our business as an end-user, with revenues principally derived directly or indirectly from contracts with the U.S. Navy and U.S. Army, which represented 37% and 34%, respectively, of our total revenues for such period, which is consistent with historic trends.</w:t>
      </w:r>
    </w:p>
    <w:p>
      <w:pPr>
        <w:spacing w:after="0" w:line="125"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Our operations and reporting are structured into the following two technology-driven segments based on the capabilities and solutions offered to our customers: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Advanced Sensing and Computing</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Advanced Sensing and Computing (“ASC”) segment designs, develops and manufactures sensing and network computing technology that enables real -time situational awareness required for enhanced operational decision making and execution by our customers across increasingly complex and contested operating environments.</w:t>
      </w:r>
    </w:p>
    <w:p>
      <w:pPr>
        <w:spacing w:after="0" w:line="11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tactical radars, dismounted soldier sensing and space sensing. Across our offerings, we are focused on advancing sensor range and enhancing the precision, clarity, definition, spectral depth and effectiveness of our sensors to deliver actionable information in time-sensitive mission scenarios in combination with artificial intelligence (“AI”), enabled by our advanced edge processing solutions. We also seek to leverage the knowledge and expertise built through our decades of experience to optimize size, weight, power and cost for our customers’ specific mission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support integration onto a wide range of tactical platforms, including mobile and power-constrained systems.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sensing capabilities are complemented by our rugged, trusted and cyber resilient network edge computing products that support data processing, fusion, and dissemination at the tactical edge. Our network computing offerings are utilized across a broad range of mission applications including platform computing on ground and shipboard (both surface ship and submarine) for advanced battle management, combat systems, radar, command and control, tactical networks, tactical computing and communications. These products help support the DoW’s need for greater situational understanding and faster decision-making at the tactical edge by leveraging AI and AI-optimized open architecture software, SAGEcore™, to rapidly share, synthesize and transmit data securely between command centers and forward-positioned defense assets and personnel, while supporting reduced latency, operational continuity, and interoperability through modular, open-system architectures.</w:t>
      </w:r>
    </w:p>
    <w:p>
      <w:pPr>
        <w:spacing w:after="0" w:line="13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Within ASC, we are increasingly combining sensing, computing, and software to support applications such as counter-unmanned aircraft systems (“C-UAS”), EW, and networked sensing, where performance depends on the ability to detect, process, and act on data in real time. These integrated capabilities are designed to support evolving operational concepts that emphasize distributed operations, resilient communications, and decision advantage at the tactical edge.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Integrated Mission Systems</w:t>
      </w:r>
    </w:p>
    <w:p>
      <w:pPr>
        <w:spacing w:after="0" w:line="156" w:lineRule="exact"/>
        <w:rPr>
          <w:sz w:val="20"/>
          <w:szCs w:val="20"/>
          <w:color w:val="auto"/>
        </w:rPr>
      </w:pPr>
    </w:p>
    <w:p>
      <w:pPr>
        <w:jc w:val="both"/>
        <w:ind w:right="640" w:firstLine="324"/>
        <w:spacing w:after="0" w:line="268" w:lineRule="auto"/>
        <w:rPr>
          <w:sz w:val="20"/>
          <w:szCs w:val="20"/>
          <w:color w:val="auto"/>
        </w:rPr>
      </w:pPr>
      <w:r>
        <w:rPr>
          <w:rFonts w:ascii="Arial" w:cs="Arial" w:eastAsia="Arial" w:hAnsi="Arial"/>
          <w:sz w:val="18"/>
          <w:szCs w:val="18"/>
          <w:color w:val="auto"/>
        </w:rPr>
        <w:t>Our Integrated Mission Systems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w:t>
      </w:r>
    </w:p>
    <w:p>
      <w:pPr>
        <w:spacing w:after="0" w:line="117" w:lineRule="exact"/>
        <w:rPr>
          <w:sz w:val="20"/>
          <w:szCs w:val="20"/>
          <w:color w:val="auto"/>
        </w:rPr>
      </w:pPr>
    </w:p>
    <w:p>
      <w:pPr>
        <w:jc w:val="both"/>
        <w:ind w:right="460" w:firstLine="324"/>
        <w:spacing w:after="0" w:line="268" w:lineRule="auto"/>
        <w:rPr>
          <w:sz w:val="20"/>
          <w:szCs w:val="20"/>
          <w:color w:val="auto"/>
        </w:rPr>
      </w:pPr>
      <w:r>
        <w:rPr>
          <w:rFonts w:ascii="Arial" w:cs="Arial" w:eastAsia="Arial" w:hAnsi="Arial"/>
          <w:sz w:val="18"/>
          <w:szCs w:val="18"/>
          <w:color w:val="auto"/>
        </w:rPr>
        <w:t>DRS is a leading provider of next-generation electrical propulsion systems for the U.S. Navy. We provide power conversion, control, distribution and propulsion systems for the U.S. Navy’s top priority shipbuilding programs, including the Columbia Class ballistic missile submarine, the first modern U.S. electric drive submarine.</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believe DRS is well positioned to meet the needs of an increasingly electrified and power-intensive fleet through high-efficiency, power-dense permanent magnet motors, energy storage systems, and associated rugged and compact power conversion, electrical actuation, and advanced thermal management technologies. These capabilities support higher onboard power demands, improved efficiency, and enhanced platform performance across next-generation naval systems.</w:t>
      </w:r>
    </w:p>
    <w:p>
      <w:pPr>
        <w:spacing w:after="0" w:line="122"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color w:val="auto"/>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DRS is also an integrator of complex systems in ground vehicles for short-range air defense, C-UAS, and vehicle survivability and protection. Our short-range air defense systems integrate advanced active electronically scanned array radars, EW equipment, reconnaissance and surveillance systems, mission command capabilities, modular combat vehicle turrets, and stabilized sensor suites, as well as kinetic and directed energy countermeasures to protect against evolving threats. Our force protection systems, including solutions for C-UAS, help protect personnel and defense assets from enemy combatants.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Focus on Customer and Execution</w:t>
      </w:r>
    </w:p>
    <w:p>
      <w:pPr>
        <w:spacing w:after="0" w:line="169" w:lineRule="exact"/>
        <w:rPr>
          <w:sz w:val="20"/>
          <w:szCs w:val="20"/>
          <w:color w:val="auto"/>
        </w:rPr>
      </w:pPr>
    </w:p>
    <w:p>
      <w:pPr>
        <w:jc w:val="both"/>
        <w:ind w:right="300" w:firstLine="324"/>
        <w:spacing w:after="0" w:line="291" w:lineRule="auto"/>
        <w:rPr>
          <w:sz w:val="20"/>
          <w:szCs w:val="20"/>
          <w:color w:val="auto"/>
        </w:rPr>
      </w:pPr>
      <w:r>
        <w:rPr>
          <w:rFonts w:ascii="Arial" w:cs="Arial" w:eastAsia="Arial" w:hAnsi="Arial"/>
          <w:sz w:val="17"/>
          <w:szCs w:val="17"/>
          <w:color w:val="auto"/>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every lesson experienced in our Company and insist that these lessons affect all elements of our business. This approach permeates through the Company with a focus on continuous improvement at every level.</w:t>
      </w:r>
    </w:p>
    <w:p>
      <w:pPr>
        <w:spacing w:after="0" w:line="9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Part of this learning has resulted in institutionalizing our continuous improvement process through our Business Excellence initiative called the Always Performing for Excellence (“APEX”) program. The APEX program’s goal is to strive for continuous improvement through unification of all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spacing w:after="0" w:line="12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Continuous improvement through the APEX program also allows us to improve our efficiency, which we believe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continue to align our investment strategy with the evolving priorities of the DoW, with a particular focus on increasing internal research and development to accelerate innovation in advanced sensing, networked systems, force protection and naval power &amp; propulsion. In parallel, we are selectively investing in capacity, engineering resources and supply chain readiness to enhance our ability to deliver critical capabilities at the speed required by our service members.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Events and Business Impacts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Conflicts</w:t>
      </w:r>
    </w:p>
    <w:p>
      <w:pPr>
        <w:spacing w:after="0" w:line="16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U.S. and its allies continue to face a global security environment characterized by heightened geopolitical tensions, armed conflicts and instability, including threats from state and non-state actors, strategic competition among major powers, terrorism and regional security challenges. Demand for defense products, services and solutions is influenced by these complex and evolving conditions, as well as government policies, budgetary priorities and broader political and socioeconomic circumstances. Changes in these conditions can affect our operations and financial performance and influence the timing, scope and funding of customer requirements.</w:t>
      </w:r>
    </w:p>
    <w:p>
      <w:pPr>
        <w:spacing w:after="0" w:line="1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Russia’s ongoing war in Ukraine continues to affect European security and defense priorities. In the Middle East, the conflict involving Iran, the U.S. and Israel, continuing hostilities involving regional armed groups, and the risk of renewed or broader escalation remain sources of significant uncertainty. Threats to maritime security in the Persian Gulf, including the Strait of Hormuz, and other regional waterways can disrupt commercial shipping, energy supplies and global trade. In the Indo-Pacific, tensions involving China and Taiwan and competing territorial claims in the South China Sea continue to underscore the importance of regional deterrence and maritime security. These conflicts and tensions, together with other regional instability, present evolving security requirements for the U.S. and its allies.</w:t>
      </w:r>
    </w:p>
    <w:p>
      <w:pPr>
        <w:spacing w:after="0" w:line="12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these conditions continue to underscore the need for strong deterrence, resilient defense industrial capacity and advanced capabilities, including integrated air and missile defense, C-UAS, intelligence, surveillance and reconnaissance, EW, cyber resilience, secure communications and naval capabilities. These priorities may create additional demand for our products and services; however, the timing and extent of any resulting orders depend on customer procurement decisions, appropriations, program priorities and applicable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the same time, these conditions may increase operational and financial risks, including supply-chain and transportation disruptions, higher energy and material costs, cybersecurity threats, and changes in sanctions, export controls or other regulatory requirements. The duration, scope and ultimate effects of these developments remain uncertain. We continue to evaluate the opportunities and risks associated with the global security environment and their potential effects on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16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Revenues derived directly, as a prime contractor, or indirectly, as a subcontractor, from contracts with the U.S. government represented 82% and 81% of our total revenues for the nine months ended September 30, 2026 and 2025, respectively. Our U.S. government sales are highly concentrated within our DoW customers, which made up the overwhelming majority of our U.S. government revenue for the periods presented and are principally derived directly or indirectly from contracts with the U.S. Navy and U.S. Army, which represented 37% and 34%, respectively, of our total revenues for the nine months ended September 30, 2026. Therefore, our revenue is highly correlated to changes in U.S. government spending levels, especially within the DoW. The DoW budget is the largest defense budget in the world.</w:t>
      </w:r>
    </w:p>
    <w:p>
      <w:pPr>
        <w:spacing w:after="0" w:line="114" w:lineRule="exact"/>
        <w:rPr>
          <w:sz w:val="20"/>
          <w:szCs w:val="20"/>
          <w:color w:val="auto"/>
        </w:rPr>
      </w:pPr>
    </w:p>
    <w:p>
      <w:pPr>
        <w:jc w:val="both"/>
        <w:ind w:right="560" w:firstLine="324"/>
        <w:spacing w:after="0" w:line="262" w:lineRule="auto"/>
        <w:rPr>
          <w:sz w:val="20"/>
          <w:szCs w:val="20"/>
          <w:color w:val="auto"/>
        </w:rPr>
      </w:pPr>
      <w:r>
        <w:rPr>
          <w:rFonts w:ascii="Arial" w:cs="Arial" w:eastAsia="Arial" w:hAnsi="Arial"/>
          <w:sz w:val="18"/>
          <w:szCs w:val="18"/>
          <w:color w:val="auto"/>
        </w:rPr>
        <w:t>Given the reliance on the U.S. government, funding for our programs is subject to a variety of factors that can affect our business, including: the President’s budget requests and procurement priorities and policies; the annual congressional budget authorization and appropriations process; and other U.S. government domestic and international priorities. U.S. government spending levels, particularly defense spending and the timing of funding, can affect our financial performance over the short and long term.</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Fiscal year (“FY”) 2026 defense funding has been enacted through a combination of authorizations and full-year appropriations. The President’s FY2026 budget request (June 2025) proposed $848 billion in base (discretionary) funding and $ 113 billion in reconciliation (mandatory) funding. The One Big Beautiful Bill Act, signed July 4, 2025, provided more than $150 billion in mandatory national defense funding (including the $113 billion reconciliation amount) available through September 30, 2029. The FY2026 National Defense Authorization Act (“NDAA”) was signed on December 18, 2025, authorizing approximately $901 billion for defense. Following a continuing resolution signed November 12, 2025 (through January 30, 2026), Congress completed full-year FY2026 appropriations via the Consolidated Appropriations Act, 2026 (signed February 3, 2026), which included the Department of Defense Appropriations Act and provided approximately $839 billion for the DoW. Together, these actions established the FY2026 budget baseline and related multi-year mandatory resources supporting national defense priorities.</w:t>
      </w:r>
    </w:p>
    <w:p>
      <w:pPr>
        <w:spacing w:after="0" w:line="12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FY2027, which began on October 1, 2026, the President’s budget request released in April 2026 proposed approximately $1.15 trillion in discretionary funding for the national defense function and an additional $350 billion in mandatory funding through reconciliation, for approximately $1.5 trillion in proposed total national defense resources. Full-year FY2027 defense appropriations, the FY2027 NDAA and the proposed additional reconciliation funding has not been enacted to date. The proposed increases remain subject to congressional approval and do not represent enacted funding or committed orders for our products and services.</w:t>
      </w:r>
    </w:p>
    <w:p>
      <w:pPr>
        <w:spacing w:after="0" w:line="1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Continuing Appropriations and Extensions Act, 2027, signed on September 2, 2026, provides temporary funding for federal agencies, including the DoW, through December 11, 2026, unless superseded by applicable appropriations legislation. Funding under the Continuing Appropriations and Extensions Act, 2027, generally continues at FY2026 rates, subject to statutory exceptions, and restrictions on new program starts, increased production rates and certain multi-year procurements may affect the timing of customer awards and program execution. The timing, amount and composition of final FY2027 funding remains uncertain. Additional continuing resolutions or a lapse in appropriations could delay awards or funding actions and affect the timing of our revenues and cash flows. We continue to monitor these developments and their potential effects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Performance Assessment and Reporting</w:t>
      </w:r>
    </w:p>
    <w:p>
      <w:pPr>
        <w:spacing w:after="0" w:line="169"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For the majority of our contracts, revenues are recognized using the over time, percentage of completion cost-to-cost method of accounting,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or performance-based payments.</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Under U.S. GAAP, contract costs are charged to work in progress inventory and are expensed as revenues are recognized. The Federal Acquisition Regulation (“FAR”) and the Defense Federal Acquisition Regulation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spacing w:after="0" w:line="1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defense contracts and subcontracts that require the submission of cost or pricing data are subject to audit, various profit and cost controls, and standard provisions for termination at the convenience of the customer. The Defense Contract Audit Agency (“DCAA”) performs these audits on behalf of the U.S. government. The DCAA has the right to perform audits on our incurred costs on cost-type or price redeterminable-type contracts on a yearly basis. Approval of an incurred cost submission can take from one to three years from the date of the submission of the contract cost.</w:t>
      </w:r>
    </w:p>
    <w:p>
      <w:pPr>
        <w:spacing w:after="0" w:line="1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U.S. government contracts are, by their terms, generally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spacing w:after="0" w:line="13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For the nine months ended September 30, 2026 and September 30, 2025, 86% and 88%, respectively, of our revenue was derived from fixed-price contracts.</w:t>
      </w:r>
    </w:p>
    <w:p>
      <w:pPr>
        <w:spacing w:after="0" w:line="99"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Under flexibly priced contracts,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For the nine months ended September 30, 2026 and 2025, flexibly priced contracts represented 14% and 12%, respectively, of our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9" w:lineRule="exact"/>
        <w:rPr>
          <w:sz w:val="20"/>
          <w:szCs w:val="20"/>
          <w:color w:val="auto"/>
        </w:rPr>
      </w:pPr>
    </w:p>
    <w:p>
      <w:pPr>
        <w:ind w:left="340" w:right="920"/>
        <w:spacing w:after="0" w:line="438"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Revenue from Contracts with Customers</w:t>
      </w:r>
      <w:r>
        <w:rPr>
          <w:rFonts w:ascii="Arial" w:cs="Arial" w:eastAsia="Arial" w:hAnsi="Arial"/>
          <w:sz w:val="18"/>
          <w:szCs w:val="18"/>
          <w:color w:val="auto"/>
        </w:rPr>
        <w:t xml:space="preserve"> to the Consolidated Financial Statements for additional information. </w:t>
      </w:r>
      <w:r>
        <w:rPr>
          <w:rFonts w:ascii="Arial" w:cs="Arial" w:eastAsia="Arial" w:hAnsi="Arial"/>
          <w:sz w:val="18"/>
          <w:szCs w:val="18"/>
          <w:b w:val="1"/>
          <w:bCs w:val="1"/>
          <w:i w:val="1"/>
          <w:iCs w:val="1"/>
          <w:color w:val="auto"/>
        </w:rPr>
        <w:t>Cost of Revenues</w:t>
      </w:r>
    </w:p>
    <w:p>
      <w:pPr>
        <w:spacing w:after="0" w:line="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General and administrative (“G&amp;A”) expenses include G&amp;A expenses not included within cost of revenues such as salaries, wages and fringe benefits, facility costs and other costs related to these indirect functions. Additionally, G&amp;A expenses include company-funded independent research and development (“IR&amp;D”) costs as well as expenditures related to bid and proposal (“B&amp;P”)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discussion of operating results is intended to help the reader understand the results of operations and financial condition of the Company for the three and nine months ended September 30, 2026, as compared to the three and nine months ended September 30, 2025. Given the nature of our business, we believe revenue and operating earnings are most relevant to an understanding of our performance at an enterprise and segment level. Our operating cycle is long-term in nature and involves various types of production contracts and varying delivery schedules. Accordingly, our operating results in a particular period may not be indicative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1040" w:type="dxa"/>
            <w:vAlign w:val="bottom"/>
          </w:tcPr>
          <w:p>
            <w:pPr>
              <w:spacing w:after="0"/>
              <w:rPr>
                <w:sz w:val="17"/>
                <w:szCs w:val="17"/>
                <w:color w:val="auto"/>
              </w:rPr>
            </w:pPr>
          </w:p>
        </w:tc>
        <w:tc>
          <w:tcPr>
            <w:tcW w:w="138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7"/>
                <w:szCs w:val="17"/>
                <w:color w:val="auto"/>
              </w:rPr>
            </w:pPr>
          </w:p>
        </w:tc>
      </w:tr>
      <w:tr>
        <w:trPr>
          <w:trHeight w:val="228"/>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w:t>
            </w: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
        </w:trPr>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gridSpan w:val="3"/>
          </w:tcPr>
          <w:p>
            <w:pPr>
              <w:ind w:left="140"/>
              <w:spacing w:after="0"/>
              <w:rPr>
                <w:sz w:val="20"/>
                <w:szCs w:val="20"/>
                <w:color w:val="auto"/>
              </w:rPr>
            </w:pPr>
            <w:r>
              <w:rPr>
                <w:rFonts w:ascii="Arial" w:cs="Arial" w:eastAsia="Arial" w:hAnsi="Arial"/>
                <w:sz w:val="18"/>
                <w:szCs w:val="18"/>
                <w:color w:val="auto"/>
              </w:rPr>
              <w:t>160 bps</w:t>
            </w:r>
          </w:p>
        </w:tc>
        <w:tc>
          <w:tcPr>
            <w:tcW w:w="1240" w:type="dxa"/>
            <w:vAlign w:val="bottom"/>
          </w:tcPr>
          <w:p>
            <w:pPr>
              <w:spacing w:after="0"/>
              <w:rPr>
                <w:sz w:val="21"/>
                <w:szCs w:val="21"/>
                <w:color w:val="auto"/>
              </w:rPr>
            </w:pP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1"/>
        </w:trPr>
        <w:tc>
          <w:tcPr>
            <w:tcW w:w="394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2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
        </w:trPr>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2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3"/>
        </w:trPr>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59.7 %</w:t>
            </w:r>
          </w:p>
        </w:tc>
      </w:tr>
      <w:tr>
        <w:trPr>
          <w:trHeight w:val="241"/>
        </w:trPr>
        <w:tc>
          <w:tcPr>
            <w:tcW w:w="39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r>
      <w:tr>
        <w:trPr>
          <w:trHeight w:val="241"/>
        </w:trPr>
        <w:tc>
          <w:tcPr>
            <w:tcW w:w="3940" w:type="dxa"/>
            <w:vAlign w:val="bottom"/>
          </w:tcPr>
          <w:p>
            <w:pPr>
              <w:ind w:left="20"/>
              <w:spacing w:after="0"/>
              <w:rPr>
                <w:sz w:val="20"/>
                <w:szCs w:val="20"/>
                <w:color w:val="auto"/>
              </w:rPr>
            </w:pPr>
            <w:r>
              <w:rPr>
                <w:rFonts w:ascii="Arial" w:cs="Arial" w:eastAsia="Arial" w:hAnsi="Arial"/>
                <w:sz w:val="18"/>
                <w:szCs w:val="18"/>
                <w:color w:val="auto"/>
              </w:rPr>
              <w:t>Backlog</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506"/>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24"/>
                <w:szCs w:val="24"/>
                <w:color w:val="auto"/>
              </w:rPr>
            </w:pPr>
          </w:p>
        </w:tc>
        <w:tc>
          <w:tcPr>
            <w:tcW w:w="138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24"/>
                <w:szCs w:val="24"/>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w:t>
            </w: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
        </w:trPr>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gridSpan w:val="3"/>
          </w:tcPr>
          <w:p>
            <w:pPr>
              <w:ind w:left="140"/>
              <w:spacing w:after="0"/>
              <w:rPr>
                <w:sz w:val="20"/>
                <w:szCs w:val="20"/>
                <w:color w:val="auto"/>
              </w:rPr>
            </w:pPr>
            <w:r>
              <w:rPr>
                <w:rFonts w:ascii="Arial" w:cs="Arial" w:eastAsia="Arial" w:hAnsi="Arial"/>
                <w:sz w:val="18"/>
                <w:szCs w:val="18"/>
                <w:color w:val="auto"/>
              </w:rPr>
              <w:t>200 bps</w:t>
            </w:r>
          </w:p>
        </w:tc>
        <w:tc>
          <w:tcPr>
            <w:tcW w:w="1240" w:type="dxa"/>
            <w:vAlign w:val="bottom"/>
          </w:tcPr>
          <w:p>
            <w:pPr>
              <w:spacing w:after="0"/>
              <w:rPr>
                <w:sz w:val="21"/>
                <w:szCs w:val="21"/>
                <w:color w:val="auto"/>
              </w:rPr>
            </w:pP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0"/>
        </w:trPr>
        <w:tc>
          <w:tcPr>
            <w:tcW w:w="394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66.7 %</w:t>
            </w:r>
          </w:p>
        </w:tc>
      </w:tr>
      <w:tr>
        <w:trPr>
          <w:trHeight w:val="23"/>
        </w:trPr>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
        </w:trPr>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49.4 %</w:t>
            </w:r>
          </w:p>
        </w:tc>
      </w:tr>
      <w:tr>
        <w:trPr>
          <w:trHeight w:val="240"/>
        </w:trPr>
        <w:tc>
          <w:tcPr>
            <w:tcW w:w="39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50.8 %</w:t>
            </w:r>
          </w:p>
        </w:tc>
      </w:tr>
      <w:tr>
        <w:trPr>
          <w:trHeight w:val="241"/>
        </w:trPr>
        <w:tc>
          <w:tcPr>
            <w:tcW w:w="3940" w:type="dxa"/>
            <w:vAlign w:val="bottom"/>
          </w:tcPr>
          <w:p>
            <w:pPr>
              <w:ind w:left="20"/>
              <w:spacing w:after="0"/>
              <w:rPr>
                <w:sz w:val="20"/>
                <w:szCs w:val="20"/>
                <w:color w:val="auto"/>
              </w:rPr>
            </w:pPr>
            <w:r>
              <w:rPr>
                <w:rFonts w:ascii="Arial" w:cs="Arial" w:eastAsia="Arial" w:hAnsi="Arial"/>
                <w:sz w:val="18"/>
                <w:szCs w:val="18"/>
                <w:color w:val="auto"/>
              </w:rPr>
              <w:t>Backlog</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3"/>
        </w:trPr>
        <w:tc>
          <w:tcPr>
            <w:tcW w:w="3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Our revenue of $1,066 million for the three months ended September 30, 2026 represents an increase of $106 million, or 11.0%, as compared to the three months ended September 30, 2025.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39"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revenue increase is primarily attributed to the conversion of our funded backlog along with higher demand across each of our operating segments. This is highlighted by increased output within our tactical radars, electric power and propulsion and space payload program activities.</w:t>
      </w:r>
    </w:p>
    <w:p>
      <w:pPr>
        <w:spacing w:after="0" w:line="11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revenue of $2,825 million for the nine months ended September 30, 2026 represents an increase of $237 million, or 9.2%, as compared to the nine months ended September 30, 2025. The revenue increase is primarily attributed to conversion of our funded backlog along with higher demand across each of our operating segments. This is highlighted by our efforts within advanced sensing, power and propulsion and force protection activities.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“—Review of Operating Segments”</w:t>
      </w:r>
      <w:r>
        <w:rPr>
          <w:rFonts w:ascii="Arial" w:cs="Arial" w:eastAsia="Arial" w:hAnsi="Arial"/>
          <w:sz w:val="18"/>
          <w:szCs w:val="18"/>
          <w:color w:val="auto"/>
        </w:rPr>
        <w:t xml:space="preserve"> below for more detail.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revenues increased by $65 million, or 8.8%, to $803 million for the three months ended September 30, 2026, as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$738 million for the three months ended September 30, 2025. The cost of revenues increase was due to the increased revenue contribution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realized during the period. This increase was offset in part by improved program performance and favorable program mix across both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w:t>
      </w:r>
    </w:p>
    <w:p>
      <w:pPr>
        <w:spacing w:after="0" w:line="15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Cost of revenues increased by $125 million, or 6.3%, to $2,113 million for the nine months ended September 30, 2026, as compared to $1,988 million for the nine months ended September 30, 2025. The cost of revenues increase was due to the increased revenue contribution realized during the period. This increase was offset in part by improved program performance and favorable program mix across both of our operating segments.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6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Gross profit increased by $41 million, or 18.5%, to $263 million for the three months ended September 30, 2026 and increased by $112 million, or 18.7%, to $712 million for the nine months ended September 30, 2026, as compared to the same periods in the prior year, resulting from the revenue and cost of revenues trends noted above. The gross profit increases, favorable mix and overall program performance drove an expansion of 160 basis points and 200 basis points in our gross margin for the three and nine months ended September 30, 2026,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 xml:space="preserve">G&amp;A expenses increased by $19 million, or 15.4%, for the three months ended September 30, 2026, as compared to the three months ended September 30, 2025, primarily due to increased IR&amp;D expenditures, costs related to B&amp;P efforts for new contractual pursuits and expenses incurred to support the proposed acquisition of Raft LLC (see </w:t>
      </w:r>
      <w:r>
        <w:rPr>
          <w:rFonts w:ascii="Arial" w:cs="Arial" w:eastAsia="Arial" w:hAnsi="Arial"/>
          <w:sz w:val="18"/>
          <w:szCs w:val="18"/>
          <w:i w:val="1"/>
          <w:iCs w:val="1"/>
          <w:color w:val="auto"/>
        </w:rPr>
        <w:t>Note 15: Business Acquisitions</w:t>
      </w:r>
      <w:r>
        <w:rPr>
          <w:rFonts w:ascii="Arial" w:cs="Arial" w:eastAsia="Arial" w:hAnsi="Arial"/>
          <w:sz w:val="18"/>
          <w:szCs w:val="18"/>
          <w:color w:val="auto"/>
        </w:rPr>
        <w:t xml:space="preserve"> to the Consolidated Financial Statements for additional information).</w:t>
      </w:r>
    </w:p>
    <w:p>
      <w:pPr>
        <w:spacing w:after="0" w:line="122" w:lineRule="exact"/>
        <w:rPr>
          <w:sz w:val="20"/>
          <w:szCs w:val="20"/>
          <w:color w:val="auto"/>
        </w:rPr>
      </w:pPr>
    </w:p>
    <w:p>
      <w:pPr>
        <w:jc w:val="both"/>
        <w:ind w:right="320" w:firstLine="324"/>
        <w:spacing w:after="0" w:line="268" w:lineRule="auto"/>
        <w:rPr>
          <w:sz w:val="20"/>
          <w:szCs w:val="20"/>
          <w:color w:val="auto"/>
        </w:rPr>
      </w:pPr>
      <w:r>
        <w:rPr>
          <w:rFonts w:ascii="Arial" w:cs="Arial" w:eastAsia="Arial" w:hAnsi="Arial"/>
          <w:sz w:val="18"/>
          <w:szCs w:val="18"/>
          <w:color w:val="auto"/>
        </w:rPr>
        <w:t>G&amp;A expenses increased by $40 million, or 11.1%, for the nine months ended September 30, 2026, as compared to the nine months ended September 30, 2025, primarily due to increased IR&amp;D expenditures, costs related to B&amp;P efforts for new contractual pursuits and expenses incurred to support the proposed acquisition of Raft LLC.</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16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Amortization of acquired intangible assets was consistent for the three and nine months ended September 30, 2026, as compared to the three and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1" w:name="page32"/>
    <w:bookmarkEnd w:id="31"/>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Expenses, Net</w:t>
      </w:r>
    </w:p>
    <w:p>
      <w:pPr>
        <w:spacing w:after="0" w:line="169"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There were no other operating expenses, net for the three and nine months ended September 30, 2026 compared to $1 million for the three and nine months ended September 30, 2025. The expenses in the prior year periods are attributed to restructuring efforts that were implemented in our ASC segment.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69"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Operating earnings increased by $23 million to $116 million for the three months ended September 30, 2026 and increased by $73 million to $295 million for the nine months ended September 30, 2026, as compared to the same periods in the prior year. The increases were driven by the higher gross profit offset in part by the G&amp;A expense increases both noted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6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Net interest income was $1 million and $3 million for the three and nine months ended September 30, 2026, respectively, compared to net interest expense of $4 million and $7 million for the three and nine months ended September 30, 2025, respectively. The change is attributed to increased interest income and reduced interest expense with the repayment and termination of the 2022 Term Loan A in January 2026.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Net</w:t>
      </w:r>
    </w:p>
    <w:p>
      <w:pPr>
        <w:spacing w:after="0" w:line="169"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Other, net decreased $1 million and increased $2 million for the three and nine months ended September 30, 2026, respectively, as compared to the same periods in the prior year primarily due to foreign exchange rate impacts.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Before Taxes</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Earnings before taxes increased by $29 million to $116 million for the three months ended September 30, 2026 and increased by $81 million to $293 million for the nine months ended September 30, 2026, as compared to the same periods in the prior year. This was primarily due to the increase in operating earnings and change in net interest income (expense) as noted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Income tax provision decreased by $14 million and $6 million for the three and nine months ended September 30, 2026, respectively, as compared to the same periods in the prior year. This was primarily attributable to discrete tax benefits in connection with the reversal of unrecognized tax benefits, the purchase of tax credits at a discount to face value and excess tax benefits associated with the vesting of stock-based awards, partially offset by an increase in earnings before taxes. For the three months ended September 30, 2026, the income tax provision decrease was largely attributable to the reduction of unrecognized tax benefits. For the nine months ended September 30, 2026, our effective tax rate was lower due to the discrete items noted above. Our effective tax rate was 0.9% and 10.2% for the three and nine months ended September 30, 2026, respectively, compared to 17.2% and 17.0% for the three and nine months ended September 30, 2025,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Earnings</w:t>
      </w:r>
    </w:p>
    <w:p>
      <w:pPr>
        <w:spacing w:after="0" w:line="169"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Net earnings increased by $ 43 million to $115 million for the three months ended September 30, 2026 and increased by $87 million to $263 million for the nine months ended September 30, 2026, as compared to the same periods in the prior year. This was driven by an increase in earnings before taxes coupled with the changes in our effective tax rate as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 and Bookings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backlog includes the following components:</w:t>
      </w:r>
    </w:p>
    <w:p>
      <w:pPr>
        <w:spacing w:after="0" w:line="171" w:lineRule="exact"/>
        <w:rPr>
          <w:sz w:val="20"/>
          <w:szCs w:val="20"/>
          <w:color w:val="auto"/>
        </w:rPr>
      </w:pPr>
    </w:p>
    <w:p>
      <w:pPr>
        <w:ind w:left="660" w:right="620" w:hanging="328"/>
        <w:spacing w:after="0" w:line="28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products and services under existing contracts for which funding is appropriated or otherwise authorized less revenue previously recognized on these contracts.</w:t>
      </w:r>
    </w:p>
    <w:p>
      <w:pPr>
        <w:spacing w:after="0" w:line="98" w:lineRule="exact"/>
        <w:rPr>
          <w:rFonts w:ascii="Arial" w:cs="Arial" w:eastAsia="Arial" w:hAnsi="Arial"/>
          <w:sz w:val="18"/>
          <w:szCs w:val="18"/>
          <w:color w:val="auto"/>
        </w:rPr>
      </w:pPr>
    </w:p>
    <w:p>
      <w:pPr>
        <w:ind w:left="660" w:right="440" w:hanging="328"/>
        <w:spacing w:after="0" w:line="28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value of our backlog, incorporating both funded and unfunded components: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September 30, 2026</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September 30, 2025</w:t>
            </w: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47"/>
        </w:trPr>
        <w:tc>
          <w:tcPr>
            <w:tcW w:w="7360" w:type="dxa"/>
            <w:vAlign w:val="bottom"/>
          </w:tcPr>
          <w:p>
            <w:pPr>
              <w:ind w:left="20"/>
              <w:spacing w:after="0"/>
              <w:rPr>
                <w:sz w:val="20"/>
                <w:szCs w:val="20"/>
                <w:color w:val="auto"/>
              </w:rPr>
            </w:pPr>
            <w:r>
              <w:rPr>
                <w:rFonts w:ascii="Arial" w:cs="Arial" w:eastAsia="Arial" w:hAnsi="Arial"/>
                <w:sz w:val="18"/>
                <w:szCs w:val="18"/>
                <w:color w:val="auto"/>
              </w:rPr>
              <w:t>Unfunded</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3,741</w:t>
            </w: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3,991</w:t>
            </w:r>
          </w:p>
        </w:tc>
      </w:tr>
      <w:tr>
        <w:trPr>
          <w:trHeight w:val="23"/>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Backlog increased by $712 million to $9,381 million as of September 30, 2026, from $8,669 million as of September 30, 2025. The backlog increase was driven primarily by the receipt of new awards within our IMS segment which realized bookings in excess of revenue for the period.</w:t>
      </w:r>
    </w:p>
    <w:p>
      <w:pPr>
        <w:spacing w:after="0" w:line="117" w:lineRule="exact"/>
        <w:rPr>
          <w:sz w:val="20"/>
          <w:szCs w:val="20"/>
          <w:color w:val="auto"/>
        </w:rPr>
      </w:pPr>
    </w:p>
    <w:p>
      <w:pPr>
        <w:jc w:val="both"/>
        <w:ind w:right="400" w:firstLine="324"/>
        <w:spacing w:after="0" w:line="268" w:lineRule="auto"/>
        <w:rPr>
          <w:sz w:val="20"/>
          <w:szCs w:val="20"/>
          <w:color w:val="auto"/>
        </w:rPr>
      </w:pPr>
      <w:r>
        <w:rPr>
          <w:rFonts w:ascii="Arial" w:cs="Arial" w:eastAsia="Arial" w:hAnsi="Arial"/>
          <w:sz w:val="18"/>
          <w:szCs w:val="18"/>
          <w:color w:val="auto"/>
        </w:rPr>
        <w:t>We define bookings as the total value of contract awards received from the U.S. government for which it has appropriated funds and legally obligated such funds to the Company through a contract or purchase order, plus the funded value of contract awards and orders received from customers other than the U.S. government.</w:t>
      </w:r>
    </w:p>
    <w:p>
      <w:pPr>
        <w:spacing w:after="0" w:line="117"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Bookings for the three months ended September 30, 2026 increased to $1,639 million, as compared to $1,307 million for the three months ended September 30, 2025. Bookings for the nine months ended September 30, 2026 increased to $3,609 million, as compared to $3,151 million for the nine months ended September 30, 2025. The increase in new orders for the nine months ended September 30, 2026 was driven by bookings within our IMS segment. See </w:t>
      </w:r>
      <w:r>
        <w:rPr>
          <w:rFonts w:ascii="Arial" w:cs="Arial" w:eastAsia="Arial" w:hAnsi="Arial"/>
          <w:sz w:val="18"/>
          <w:szCs w:val="18"/>
          <w:i w:val="1"/>
          <w:iCs w:val="1"/>
          <w:color w:val="auto"/>
        </w:rPr>
        <w:t>“—Review of Operating Segments”</w:t>
      </w:r>
      <w:r>
        <w:rPr>
          <w:rFonts w:ascii="Arial" w:cs="Arial" w:eastAsia="Arial" w:hAnsi="Arial"/>
          <w:sz w:val="18"/>
          <w:szCs w:val="18"/>
          <w:color w:val="auto"/>
        </w:rPr>
        <w:t xml:space="preserve"> below for more detail.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Spending and Federal Budget Uncertainty</w:t>
      </w:r>
    </w:p>
    <w:p>
      <w:pPr>
        <w:spacing w:after="0" w:line="16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Changes in the volume and relative mix of U.S. and allied government spending as well as areas of spending growth, including due to the evolution of warfare,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with respect to our and third parties’ information networks and related systems, AI, connected communities and physical infrastructure (for example, the potential impacts of the Russia / Ukraine conflict and conflicts involving the Middle East region, including Israel). Cost-cutting and efficiency initiatives, increasing nationalization efforts, current and future budget restrictions, spending cuts and other efforts to reduce government spending and shifts in overall priorities could cause our government customers to reduce or delay funding or invest appropriated funds on a less consistent basis or not at all, and demand for our solutions or services could diminish. Existing contracts could also be canceled due to changes in need and prioritization.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schedules for government testing or deploy our staff to customer locations or facilities as a result of such disruptions.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There is also uncertainty around the timing, extent, nature and effect of Congressional and other U.S. government actions to address budgetary constraints, caps on certain discretionary budgets, and the ability of Congress to determine how to allocate the available budget authority and pass appropriations bills to fund U.S. government departments and agencies. Additionally, budget deficits and the growing U.S. national debt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Part I, Item 1A, </w:t>
      </w:r>
      <w:r>
        <w:rPr>
          <w:rFonts w:ascii="Arial" w:cs="Arial" w:eastAsia="Arial" w:hAnsi="Arial"/>
          <w:sz w:val="18"/>
          <w:szCs w:val="18"/>
          <w:i w:val="1"/>
          <w:iCs w:val="1"/>
          <w:color w:val="auto"/>
        </w:rPr>
        <w:t>“Risk Factors—Risks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Our Business—Significant delays, including from government shutdowns, or reductions in appropriations for our programs and changes in U.S. government priorities and spending levels more broadly may negatively impact our business and could have a material adverse impact on our business, financial condition and results of operations” </w:t>
      </w:r>
      <w:r>
        <w:rPr>
          <w:rFonts w:ascii="Arial" w:cs="Arial" w:eastAsia="Arial" w:hAnsi="Arial"/>
          <w:sz w:val="18"/>
          <w:szCs w:val="18"/>
          <w:color w:val="auto"/>
        </w:rPr>
        <w:t>and Part II, Item 7,</w:t>
      </w:r>
      <w:r>
        <w:rPr>
          <w:rFonts w:ascii="Arial" w:cs="Arial" w:eastAsia="Arial" w:hAnsi="Arial"/>
          <w:sz w:val="18"/>
          <w:szCs w:val="18"/>
          <w:i w:val="1"/>
          <w:iCs w:val="1"/>
          <w:color w:val="auto"/>
        </w:rPr>
        <w:t xml:space="preserve"> “Management’s Discussion and Analysis of Financial Condition and Results of Operations—Business Overview and Considerations—Business Environment” </w:t>
      </w:r>
      <w:r>
        <w:rPr>
          <w:rFonts w:ascii="Arial" w:cs="Arial" w:eastAsia="Arial" w:hAnsi="Arial"/>
          <w:sz w:val="18"/>
          <w:szCs w:val="18"/>
          <w:color w:val="auto"/>
        </w:rPr>
        <w:t>in our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ended December 31, 2025, and Part I, Item 2,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Operations—Business Overview and Considerations—Business Environment” </w:t>
      </w:r>
      <w:r>
        <w:rPr>
          <w:rFonts w:ascii="Arial" w:cs="Arial" w:eastAsia="Arial" w:hAnsi="Arial"/>
          <w:sz w:val="18"/>
          <w:szCs w:val="18"/>
          <w:color w:val="auto"/>
        </w:rPr>
        <w:t>in this Quarterly Report for further details on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and current and potential impacts on our business.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Performance on Contracts</w:t>
      </w:r>
    </w:p>
    <w:p>
      <w:pPr>
        <w:spacing w:after="0" w:line="16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While the Company provides warranties on certain contracts, we typically do not provide for services beyond standard assurances and therefore do not consider warranties to be separate performance obligations.</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Typically, we enter into three types of contracts: fixed-price contracts, cost-plus contracts and time-and-materials (“T&amp;M”) contracts. The majority of our total revenues are derived from fixed-price contracts; refer to the revenue disaggregation disclosures in </w:t>
      </w:r>
      <w:r>
        <w:rPr>
          <w:rFonts w:ascii="Arial" w:cs="Arial" w:eastAsia="Arial" w:hAnsi="Arial"/>
          <w:sz w:val="18"/>
          <w:szCs w:val="18"/>
          <w:i w:val="1"/>
          <w:iCs w:val="1"/>
          <w:color w:val="auto"/>
        </w:rPr>
        <w:t>Note 2: 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to the Consolidated Financial Statements.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fixed-price contracts, customers agree to pay a fixed amount, negotiated in advance for a specified scope of work.</w:t>
      </w:r>
    </w:p>
    <w:p>
      <w:pPr>
        <w:spacing w:after="0" w:line="17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3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17"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9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Revenues for the majority of our contracts are measured using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transaction price and total cost at completion often requires judgment. The estimated transaction price may include variable consideration such as performance incentives, requests for equitable adjustment (“REAs”) and claims. Variable consideration is included in the estimated transaction price only to the extent it is probable that a significant reversal of cumulative revenue recognized will not occur when the uncertainty associated with the variable consideration is subsequently resolved. Factors that must be considered in estimating the cost of the work to be completed include the nature and complexity of the work to be performed, subcontractor performance and the risk and impact of delayed performance.</w:t>
      </w:r>
    </w:p>
    <w:p>
      <w:pPr>
        <w:spacing w:after="0" w:line="127" w:lineRule="exact"/>
        <w:rPr>
          <w:sz w:val="20"/>
          <w:szCs w:val="20"/>
          <w:color w:val="auto"/>
        </w:rPr>
      </w:pPr>
    </w:p>
    <w:p>
      <w:pPr>
        <w:jc w:val="both"/>
        <w:ind w:right="540" w:firstLine="324"/>
        <w:spacing w:after="0" w:line="268" w:lineRule="auto"/>
        <w:rPr>
          <w:sz w:val="20"/>
          <w:szCs w:val="20"/>
          <w:color w:val="auto"/>
        </w:rPr>
      </w:pPr>
      <w:r>
        <w:rPr>
          <w:rFonts w:ascii="Arial" w:cs="Arial" w:eastAsia="Arial" w:hAnsi="Arial"/>
          <w:sz w:val="18"/>
          <w:szCs w:val="18"/>
          <w:color w:val="auto"/>
        </w:rPr>
        <w:t>After establishing the estimated total cost at completion, we follow a standard Estimate at Completion (“EAC”) process in which we review the progress and performance on our ongoing contracts. The following represents the net impact that changes in our estimates, particularly those regarding our fixed-price programs, have had on our revenues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9"/>
                <w:szCs w:val="19"/>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w:t>
            </w:r>
          </w:p>
        </w:tc>
      </w:tr>
      <w:tr>
        <w:trPr>
          <w:trHeight w:val="247"/>
        </w:trPr>
        <w:tc>
          <w:tcPr>
            <w:tcW w:w="398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124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 %</w:t>
            </w:r>
          </w:p>
        </w:tc>
      </w:tr>
    </w:tbl>
    <w:p>
      <w:pPr>
        <w:spacing w:after="0" w:line="26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Additionally, the timing of our cash flows is impacted by the timing of achievement of billable milestones on contracts. Historically, this has resulted and could continue to result in fluctuations in working capital levels and quarterly cash provided by (used in) operating activities results. As a result of such quarterly fluctuations in cash flow results, we believe that quarter-to-quarter comparisons of our results of operations may not necessarily be meaningful and should not be relied upon as indicators of future performance.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Increased audit, review, investigation and general scrutiny by U.S. government agencies of performance under government contracts and compliance with the terms of those contracts and applicable laws, including executive orders,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DoW and the U.S. intelligence community, including those related to cybersecurity, could impact our ability to perform in the markets we serve.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16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International revenue, including foreign military sales, foreign military financing, and direct commercial sales, accounted for approximately 11% and 9% of our revenue for the nine months ended September 30, 2026 and 2025, respectively. The increase in international sales is due in part to the global demand for our tactical radars used in counter drone and short-range air defense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Our sales remain subject to the spending levels, pace and priorities of the U.S. government as well as international governments and commercial customers, and to general economic conditions that could adversely affect us, our customers and our suppliers.</w:t>
      </w:r>
    </w:p>
    <w:p>
      <w:pPr>
        <w:spacing w:after="0" w:line="9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nine months ended September 30, 2026.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69"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Operating Segments</w:t>
      </w:r>
    </w:p>
    <w:p>
      <w:pPr>
        <w:spacing w:after="0" w:line="171"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The following is a discussion of operating results for each of our operating segments. We have elected to use revenue, operating earnings, operating margin, and bookings to provide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3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 xml:space="preserve">information on our segment performance. Additional information regarding our segments can be found in </w:t>
      </w:r>
      <w:r>
        <w:rPr>
          <w:rFonts w:ascii="Arial" w:cs="Arial" w:eastAsia="Arial" w:hAnsi="Arial"/>
          <w:sz w:val="18"/>
          <w:szCs w:val="18"/>
          <w:i w:val="1"/>
          <w:iCs w:val="1"/>
          <w:color w:val="auto"/>
        </w:rPr>
        <w:t>Note 14: Segment Information</w:t>
      </w:r>
      <w:r>
        <w:rPr>
          <w:rFonts w:ascii="Arial" w:cs="Arial" w:eastAsia="Arial" w:hAnsi="Arial"/>
          <w:sz w:val="18"/>
          <w:szCs w:val="18"/>
          <w:color w:val="auto"/>
        </w:rPr>
        <w:t xml:space="preserve"> to the Consolidated Financial Statements.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3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7"/>
                <w:szCs w:val="17"/>
                <w:color w:val="auto"/>
              </w:rPr>
            </w:pPr>
          </w:p>
        </w:tc>
        <w:tc>
          <w:tcPr>
            <w:tcW w:w="122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7"/>
                <w:szCs w:val="17"/>
                <w:color w:val="auto"/>
              </w:rPr>
            </w:pPr>
          </w:p>
        </w:tc>
      </w:tr>
      <w:tr>
        <w:trPr>
          <w:trHeight w:val="228"/>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r>
      <w:tr>
        <w:trPr>
          <w:trHeight w:val="251"/>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Corporate &amp; Eliminations</w:t>
            </w:r>
          </w:p>
        </w:tc>
        <w:tc>
          <w:tcPr>
            <w:tcW w:w="10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600.0 %</w:t>
            </w:r>
          </w:p>
        </w:tc>
      </w:tr>
      <w:tr>
        <w:trPr>
          <w:trHeight w:val="23"/>
        </w:trPr>
        <w:tc>
          <w:tcPr>
            <w:tcW w:w="4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earnings:</w:t>
            </w: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8"/>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33.3 %</w:t>
            </w: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 &amp; Eliminations</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1"/>
        </w:trPr>
        <w:tc>
          <w:tcPr>
            <w:tcW w:w="4080" w:type="dxa"/>
            <w:vAlign w:val="bottom"/>
          </w:tcPr>
          <w:p>
            <w:pPr>
              <w:ind w:left="20"/>
              <w:spacing w:after="0"/>
              <w:rPr>
                <w:sz w:val="20"/>
                <w:szCs w:val="20"/>
                <w:color w:val="auto"/>
              </w:rPr>
            </w:pPr>
            <w:r>
              <w:rPr>
                <w:rFonts w:ascii="Arial" w:cs="Arial" w:eastAsia="Arial" w:hAnsi="Arial"/>
                <w:sz w:val="18"/>
                <w:szCs w:val="18"/>
                <w:color w:val="auto"/>
              </w:rPr>
              <w:t>Total operating earnings</w:t>
            </w:r>
          </w:p>
        </w:tc>
        <w:tc>
          <w:tcPr>
            <w:tcW w:w="1060" w:type="dxa"/>
            <w:vAlign w:val="bottom"/>
            <w:tcBorders>
              <w:top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24.7 %</w:t>
            </w: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margin:</w:t>
            </w: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Bookings:</w:t>
            </w: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8"/>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1,017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3"/>
        </w:trPr>
        <w:tc>
          <w:tcPr>
            <w:tcW w:w="4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bookings</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506"/>
        </w:trPr>
        <w:tc>
          <w:tcPr>
            <w:tcW w:w="4080" w:type="dxa"/>
            <w:vAlign w:val="bottom"/>
          </w:tcPr>
          <w:p>
            <w:pPr>
              <w:spacing w:after="0"/>
              <w:rPr>
                <w:sz w:val="24"/>
                <w:szCs w:val="24"/>
                <w:color w:val="auto"/>
              </w:rPr>
            </w:pPr>
          </w:p>
        </w:tc>
        <w:tc>
          <w:tcPr>
            <w:tcW w:w="3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Pr>
          <w:p>
            <w:pPr>
              <w:spacing w:after="0"/>
              <w:rPr>
                <w:sz w:val="24"/>
                <w:szCs w:val="24"/>
                <w:color w:val="auto"/>
              </w:rPr>
            </w:pPr>
          </w:p>
        </w:tc>
        <w:tc>
          <w:tcPr>
            <w:tcW w:w="122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24"/>
                <w:szCs w:val="24"/>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r>
      <w:tr>
        <w:trPr>
          <w:trHeight w:val="251"/>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1,805</w:t>
            </w:r>
          </w:p>
        </w:tc>
        <w:tc>
          <w:tcPr>
            <w:tcW w:w="100" w:type="dxa"/>
            <w:vAlign w:val="bottom"/>
          </w:tcPr>
          <w:p>
            <w:pPr>
              <w:spacing w:after="0"/>
              <w:rPr>
                <w:sz w:val="21"/>
                <w:szCs w:val="21"/>
                <w:color w:val="auto"/>
              </w:rPr>
            </w:pP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1,633</w:t>
            </w:r>
          </w:p>
        </w:tc>
        <w:tc>
          <w:tcPr>
            <w:tcW w:w="100" w:type="dxa"/>
            <w:vAlign w:val="bottom"/>
          </w:tcPr>
          <w:p>
            <w:pPr>
              <w:spacing w:after="0"/>
              <w:rPr>
                <w:sz w:val="21"/>
                <w:szCs w:val="21"/>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Corporate &amp; Eliminations</w:t>
            </w:r>
          </w:p>
        </w:tc>
        <w:tc>
          <w:tcPr>
            <w:tcW w:w="10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
        </w:trPr>
        <w:tc>
          <w:tcPr>
            <w:tcW w:w="4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2,825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earnings:</w:t>
            </w: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8"/>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33.9 %</w:t>
            </w: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 &amp; Eliminations</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color w:val="auto"/>
              </w:rPr>
              <w:t>Total operating earnings</w:t>
            </w:r>
          </w:p>
        </w:tc>
        <w:tc>
          <w:tcPr>
            <w:tcW w:w="1060" w:type="dxa"/>
            <w:vAlign w:val="bottom"/>
            <w:tcBorders>
              <w:top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32.9 %</w:t>
            </w: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margin:</w:t>
            </w: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
        </w:trPr>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Bookings:</w:t>
            </w: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8"/>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ASC</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7"/>
        </w:trPr>
        <w:tc>
          <w:tcPr>
            <w:tcW w:w="4080" w:type="dxa"/>
            <w:vAlign w:val="bottom"/>
          </w:tcPr>
          <w:p>
            <w:pPr>
              <w:ind w:left="240"/>
              <w:spacing w:after="0"/>
              <w:rPr>
                <w:sz w:val="20"/>
                <w:szCs w:val="20"/>
                <w:color w:val="auto"/>
              </w:rPr>
            </w:pPr>
            <w:r>
              <w:rPr>
                <w:rFonts w:ascii="Arial" w:cs="Arial" w:eastAsia="Arial" w:hAnsi="Arial"/>
                <w:sz w:val="18"/>
                <w:szCs w:val="18"/>
                <w:color w:val="auto"/>
              </w:rPr>
              <w:t>IMS</w:t>
            </w: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1,472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1,166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26.2 %</w:t>
            </w:r>
          </w:p>
        </w:tc>
      </w:tr>
      <w:tr>
        <w:trPr>
          <w:trHeight w:val="23"/>
        </w:trPr>
        <w:tc>
          <w:tcPr>
            <w:tcW w:w="4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bookings</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3,609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3,151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3"/>
        </w:trPr>
        <w:tc>
          <w:tcPr>
            <w:tcW w:w="40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ASC segment reported revenue of $659 million for the three months ended September 30, 2026, an increase of 13.6%, or $79 million, from the three months ended September 30, 2025. The revenue increase is attributed to increased demand for our tactical radars, advanced sensing used in space-based</w:t>
      </w:r>
    </w:p>
    <w:p>
      <w:pPr>
        <w:sectPr>
          <w:pgSz w:w="11900" w:h="16838" w:orient="portrait"/>
          <w:cols w:equalWidth="0" w:num="1">
            <w:col w:w="11240"/>
          </w:cols>
          <w:pgMar w:left="320" w:top="1440" w:right="339" w:bottom="6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62" w:gutter="0" w:footer="0" w:header="0"/>
          <w:type w:val="continuous"/>
        </w:sectPr>
      </w:pPr>
    </w:p>
    <w:bookmarkStart w:id="37" w:name="page38"/>
    <w:bookmarkEnd w:id="37"/>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applications and the overall execution of our backlog programs coupled with increased customer demand driven by the elevated global threat environment.</w:t>
      </w:r>
    </w:p>
    <w:p>
      <w:pPr>
        <w:spacing w:after="0" w:line="9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ASC segment reported revenue of $1,805 million for the nine months ended September 30, 2026, an increase of 10.5%, or $ 172 million, from the nine months ended September 30, 2025. The revenue increase is attributed to our tactical radars, advanced sensing used in space-based applications and the overall execution of our backlog programs coupled with increased customer demand driven by the elevated global threat environment.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Earnings and Operating Margin</w:t>
      </w:r>
    </w:p>
    <w:p>
      <w:pPr>
        <w:spacing w:after="0" w:line="16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Operating earnings increased by $12 million, or 26.7%, to $57 million for the three months ended September 30, 2026, from $45 million for the three months ended September 30, 2025. The increase was driven by increased revenue contribution, favorable program mix and better program execution. The net of these impacts drove operating margin to 8.6% for the three months ended September 30, 2026, compared to the 7.8% realized during the three months ended September 30, 2025.</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Operating earnings increased by $39 million, or 36.4%, to $146 million for the nine months ended September 30, 2026, from $107 million for the nine months ended September 30, 2025. The increase was driven by increased revenue contribution, favorable program mix and better program execution. The net of these impacts drove operating margin to 8.1% for the nine months ended September 30, 2026, compared to the 6.6% realized during the nine months ended September 30,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September 30, 2026, bookings increased $260 million, or 34.3%, from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to $1,017 million. The increase in new awards is largely attributed to increased orders for our tactical radars and aircraft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protection systems. This was offset in part by a reduction in infrared sensing awards realized during the period.</w:t>
      </w:r>
    </w:p>
    <w:p>
      <w:pPr>
        <w:spacing w:after="0" w:line="15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For the nine months ended September 30, 2026, bookings increased $152 million, or 7.7%, from the nine months ended September 30, 2025 to $2,137 million. The increase is driven by demand for our tactical radar programs offset in part by a large multi-year award received in the prior year for next generation ground vehicle sensing.</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IMS segment revenue increased by $45 million, or 11.7%, to $428 million for the three months ended September 30, 2026, from $383 million for the three months ended September 30, 2025, which is attributed to increased revenue generated from our naval power related programs during the period.</w:t>
      </w:r>
    </w:p>
    <w:p>
      <w:pPr>
        <w:spacing w:after="0" w:line="117"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IMS segment revenue increased by $92 million, or 9.5%, to $1,056 million for the nine months ended September 30, 2026, from $964 million for the nine months ended September 30, 2025, which is attributed to increased revenue generated from our naval power programs.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Earnings and Operating Margin</w:t>
      </w:r>
    </w:p>
    <w:p>
      <w:pPr>
        <w:spacing w:after="0" w:line="16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Operating earnings increased by $16 million, or 33.3%, to $64 million for the three months ended September 30, 2026, from $48 million for the three months ended September 30, 2025. The increase for the period is attributed to continued program improvement within both land and naval programs coupled with the benefits of operational leverage generated from the increased volume noted above, resulting in a net operating margin increase to 15.0%, compared to the 12.5% realized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3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Operating earnings increased by $39 million, or 33.9%, to $154 million for the nine months ended September 30, 2026, from $115 million for the nine months ended September 30, 2025. The increase for the period is attributed to improved performance on both land and naval programs coupled with the benefits of operational leverage generated from the increased volume noted above, resulting in a net operating margin increase to 14.6%, compared to the 11.9% realized during the nine months ended September 30,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9"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For the three months ended September 30, 2026, bookings increased by $72 million, or 13.1%, from the three months ended September 30, 2025 to $622 million. The increase for the three months ended September 30, 2026 is largely attributed to funding received for our naval power and propulsion efforts.</w:t>
      </w:r>
    </w:p>
    <w:p>
      <w:pPr>
        <w:spacing w:after="0" w:line="11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For the nine months ended September 30, 2026, bookings increased by $306 million, or 26.2%, from the nine months ended September 30, 2025 to $1,472 million. The increase for the nine months ended September 30, 2026 is largely attributed to funding received for our naval power and propulsion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endeavor to ensure the most efficient conversion of operating earnings into cash for deployment in our business and to maximize stockholder value through cash deployment activities. In addition to our cash position, we use various financial measures to assist in capital deployment decision-making, including cash provided by (used in) operating activities. We believe that the combination of our existing cash, access to credit facilities as described in </w:t>
      </w:r>
      <w:r>
        <w:rPr>
          <w:rFonts w:ascii="Arial" w:cs="Arial" w:eastAsia="Arial" w:hAnsi="Arial"/>
          <w:sz w:val="18"/>
          <w:szCs w:val="18"/>
          <w:i w:val="1"/>
          <w:iCs w:val="1"/>
          <w:color w:val="auto"/>
        </w:rPr>
        <w:t>Note 10: Debt</w:t>
      </w:r>
      <w:r>
        <w:rPr>
          <w:rFonts w:ascii="Arial" w:cs="Arial" w:eastAsia="Arial" w:hAnsi="Arial"/>
          <w:sz w:val="18"/>
          <w:szCs w:val="18"/>
          <w:color w:val="auto"/>
        </w:rPr>
        <w:t xml:space="preserve"> to the Consolidated Financial Statements, and future cash that we expect to generate from our operations will be sufficient to meet our short and 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September 30, 2026, was $294 million compared to $647 million as of December 31, 2025.</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2025</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
        </w:trPr>
        <w:tc>
          <w:tcPr>
            <w:tcW w:w="7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
        </w:trPr>
        <w:tc>
          <w:tcPr>
            <w:tcW w:w="7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color w:val="auto"/>
        </w:rPr>
        <w:t>Cash provided by operating activities was $65 million for the nine months ended September 30, 2026 compared to cash used in operating activities of $59 million for the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2025. This was primarily due to increased earnings and lower cash used to fund working capital for the nine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2026 when compared to the nine months ended September 30, 2025.</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9"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Net cash used in investing activities decreased by $10 million for the nine months ended September 30, 2026 when compared to the nine months ended September 30, 2025, primarily due to a $15 million investment during the prior year period, partially offset by higher capital expenditures.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Net cash used in financing activities for the nine months ended September 30, 2026 was $323 million, compared to $125 million for the nine months ended September 30, 2025. The change was primarily due to the repayment and termination of the 2022 Term Loan A in January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There have been no material changes to our critical accounting policies and estimates from those discussed in our Annual Report on Form 10-K for the year ended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Risk</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currently have limited risk related to fluctuations in marketable securities. Outside of pension assets, the Company’s investments consist primarily of overnight money market accounts. Fluctuations are unlikely and would have limited impact on the financial statements of the Company.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We are exposed to interest rate risk on variable rate borrowings under our 2026 Revolving Credit Facility. We had no amounts outstanding under the 2026 Revolving Credit Facility as of September 30, 2026. See </w:t>
      </w:r>
      <w:r>
        <w:rPr>
          <w:rFonts w:ascii="Arial" w:cs="Arial" w:eastAsia="Arial" w:hAnsi="Arial"/>
          <w:sz w:val="18"/>
          <w:szCs w:val="18"/>
          <w:i w:val="1"/>
          <w:iCs w:val="1"/>
          <w:color w:val="auto"/>
        </w:rPr>
        <w:t>Note 10: Debt</w:t>
      </w:r>
      <w:r>
        <w:rPr>
          <w:rFonts w:ascii="Arial" w:cs="Arial" w:eastAsia="Arial" w:hAnsi="Arial"/>
          <w:sz w:val="18"/>
          <w:szCs w:val="18"/>
          <w:color w:val="auto"/>
        </w:rPr>
        <w:t xml:space="preserve"> to the Consolidated Financial Statements for additional information.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9"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A 10% fluctuation in exchange rates would not have a material impact on our financial statements. We do not enter into or issue derivative instruments for trading purposes.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9" w:lineRule="exact"/>
        <w:rPr>
          <w:sz w:val="20"/>
          <w:szCs w:val="20"/>
          <w:color w:val="auto"/>
        </w:rPr>
      </w:pPr>
    </w:p>
    <w:p>
      <w:pPr>
        <w:ind w:firstLine="324"/>
        <w:spacing w:after="0" w:line="282" w:lineRule="auto"/>
        <w:rPr>
          <w:sz w:val="20"/>
          <w:szCs w:val="20"/>
          <w:color w:val="auto"/>
        </w:rPr>
      </w:pPr>
      <w:r>
        <w:rPr>
          <w:rFonts w:ascii="Arial" w:cs="Arial" w:eastAsia="Arial" w:hAnsi="Arial"/>
          <w:sz w:val="17"/>
          <w:szCs w:val="17"/>
          <w:color w:val="auto"/>
        </w:rPr>
        <w:t>We have experienced inflationary pressures to our supply chain costs, including those associated with micro-electronics, commodities (e.g., metals), and others. These costs have impacted our profitability. Bids for longer-term fixed-price contracts typically include assumptions for labor and other cost escalations in amounts that have been sufficient to cover cost increases over the period of performance. However, these costs could rise further and may not be mitigated. As a result, they could affect our financial results negatively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quarterly period ended September 30, 2026, as such term is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0" w:name="page41"/>
    <w:bookmarkEnd w:id="40"/>
    <w:p>
      <w:pPr>
        <w:spacing w:after="0" w:line="139"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defined in Rules 13a-15(e) and 15d-15(e) under the Securities Exchange Act of 1934, as amended (the “Exchange Act”). Based on this evaluation, our principal executive officer and principal financial officer have concluded that our disclosure controls and procedures were effective as of September 30, 2026.</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quarterly period ended September 30, 2026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 xml:space="preserve">For information relating to legal proceedings, 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xml:space="preserve"> to the Consolidated Financial Statements in Part I, Item 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As of the date of this Quarterly Report, there have been no material changes to the risk factors discussed under “Risk Factors” in Part I, Item 1A of our Annual Report on Form 10-K for the year ended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repurchases of DRS common stock during the three months ended September 30, 2026: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63"/>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83"/>
              <w:spacing w:after="0"/>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63"/>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83"/>
              <w:spacing w:after="0"/>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75"/>
        </w:trPr>
        <w:tc>
          <w:tcPr>
            <w:tcW w:w="426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63"/>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260" w:type="dxa"/>
            <w:vAlign w:val="bottom"/>
            <w:gridSpan w:val="2"/>
            <w:vMerge w:val="continue"/>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83"/>
              <w:spacing w:after="0"/>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600"/>
              <w:spacing w:after="0"/>
              <w:rPr>
                <w:sz w:val="20"/>
                <w:szCs w:val="20"/>
                <w:color w:val="auto"/>
              </w:rPr>
            </w:pPr>
            <w:r>
              <w:rPr>
                <w:rFonts w:ascii="Arial" w:cs="Arial" w:eastAsia="Arial" w:hAnsi="Arial"/>
                <w:sz w:val="14"/>
                <w:szCs w:val="14"/>
                <w:i w:val="1"/>
                <w:iCs w:val="1"/>
                <w:color w:val="auto"/>
              </w:rPr>
              <w:t>(Dollars in millions, except per share amounts)</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(or Units) Purchased</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Share (or Unit)</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Plans or Programs</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7"/>
              </w:rPr>
              <w:t>Programs</w:t>
            </w:r>
            <w:r>
              <w:rPr>
                <w:rFonts w:ascii="Arial" w:cs="Arial" w:eastAsia="Arial" w:hAnsi="Arial"/>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2026 - July 31, 2026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91,148</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7"/>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August 1, 2026 - August 31, 2026</w:t>
            </w:r>
          </w:p>
        </w:tc>
        <w:tc>
          <w:tcPr>
            <w:tcW w:w="1660" w:type="dxa"/>
            <w:vAlign w:val="bottom"/>
          </w:tcPr>
          <w:p>
            <w:pPr>
              <w:jc w:val="right"/>
              <w:spacing w:after="0"/>
              <w:rPr>
                <w:sz w:val="20"/>
                <w:szCs w:val="20"/>
                <w:color w:val="auto"/>
              </w:rPr>
            </w:pPr>
            <w:r>
              <w:rPr>
                <w:rFonts w:ascii="Arial" w:cs="Arial" w:eastAsia="Arial" w:hAnsi="Arial"/>
                <w:sz w:val="18"/>
                <w:szCs w:val="18"/>
                <w:color w:val="auto"/>
              </w:rPr>
              <w:t>91,462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2026 - September 30, 2026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106,023</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40" w:right="220" w:hanging="332"/>
        <w:spacing w:after="0" w:line="265"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20, 2025, the Company announced that its Board approved a stock repurchase program that allows the Company to purchase up to $75 million of its outstanding common stock through March 4, 2027, subject to market conditions. All repurchased shares are expected to be retired.</w:t>
      </w:r>
    </w:p>
    <w:p>
      <w:pPr>
        <w:spacing w:after="0" w:line="126" w:lineRule="exact"/>
        <w:rPr>
          <w:sz w:val="20"/>
          <w:szCs w:val="20"/>
          <w:color w:val="auto"/>
        </w:rPr>
      </w:pPr>
    </w:p>
    <w:p>
      <w:pPr>
        <w:ind w:right="860" w:firstLine="324"/>
        <w:spacing w:after="0" w:line="287" w:lineRule="auto"/>
        <w:rPr>
          <w:sz w:val="20"/>
          <w:szCs w:val="20"/>
          <w:color w:val="auto"/>
        </w:rPr>
      </w:pPr>
      <w:r>
        <w:rPr>
          <w:rFonts w:ascii="Arial" w:cs="Arial" w:eastAsia="Arial" w:hAnsi="Arial"/>
          <w:sz w:val="18"/>
          <w:szCs w:val="18"/>
          <w:color w:val="auto"/>
        </w:rPr>
        <w:t>Stock repurchases are at the discretion of our Board and will depend upon our financial condition, results of operations, capital requirements, alternative uses of capital and other factors that our Board may consider at its discretion.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Securities Trading Plans of Directors and Officers</w:t>
      </w:r>
    </w:p>
    <w:p>
      <w:pPr>
        <w:spacing w:after="0" w:line="169" w:lineRule="exact"/>
        <w:rPr>
          <w:sz w:val="20"/>
          <w:szCs w:val="20"/>
          <w:color w:val="auto"/>
        </w:rPr>
      </w:pPr>
    </w:p>
    <w:p>
      <w:pPr>
        <w:ind w:right="280" w:firstLine="324"/>
        <w:spacing w:after="0" w:line="311" w:lineRule="auto"/>
        <w:rPr>
          <w:sz w:val="20"/>
          <w:szCs w:val="20"/>
          <w:color w:val="auto"/>
        </w:rPr>
      </w:pPr>
      <w:r>
        <w:rPr>
          <w:rFonts w:ascii="Arial" w:cs="Arial" w:eastAsia="Arial" w:hAnsi="Arial"/>
          <w:sz w:val="17"/>
          <w:szCs w:val="17"/>
          <w:color w:val="auto"/>
        </w:rPr>
        <w:t>The following table includes the material terms (other than with respect to the price) of each Rule 10b5-1 Plan adopted, modified or terminated by our directors and officers (as defined in Rule 16a-1(f) of the Exchange Act) during the quarter ended September 30, 2026</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Date of adoption of</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Date of termination of</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Scheduled expiration</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Aggregate number of shares of</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76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date of Rule 10b5-1</w:t>
            </w:r>
          </w:p>
        </w:tc>
        <w:tc>
          <w:tcPr>
            <w:tcW w:w="26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common stock to be purchased or</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Rule 10b5-1 Plan</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Rule 10b5-1 Plan</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(3)</w:t>
            </w:r>
          </w:p>
        </w:tc>
        <w:tc>
          <w:tcPr>
            <w:tcW w:w="100" w:type="dxa"/>
            <w:vAlign w:val="bottom"/>
            <w:tcBorders>
              <w:bottom w:val="single" w:sz="8" w:color="CCEEFF"/>
            </w:tcBorders>
          </w:tcPr>
          <w:p>
            <w:pPr>
              <w:spacing w:after="0"/>
              <w:rPr>
                <w:sz w:val="18"/>
                <w:szCs w:val="18"/>
                <w:color w:val="auto"/>
              </w:rPr>
            </w:pPr>
          </w:p>
        </w:tc>
        <w:tc>
          <w:tcPr>
            <w:tcW w:w="26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4"/>
                <w:szCs w:val="24"/>
                <w:b w:val="1"/>
                <w:bCs w:val="1"/>
                <w:color w:val="auto"/>
                <w:w w:val="98"/>
                <w:vertAlign w:val="subscript"/>
              </w:rPr>
              <w:t>sold</w:t>
            </w:r>
            <w:r>
              <w:rPr>
                <w:rFonts w:ascii="Arial" w:cs="Arial" w:eastAsia="Arial" w:hAnsi="Arial"/>
                <w:sz w:val="9"/>
                <w:szCs w:val="9"/>
                <w:b w:val="1"/>
                <w:bCs w:val="1"/>
                <w:color w:val="auto"/>
                <w:w w:val="98"/>
              </w:rPr>
              <w:t>(4)(5)</w:t>
            </w:r>
          </w:p>
        </w:tc>
        <w:tc>
          <w:tcPr>
            <w:tcW w:w="0" w:type="dxa"/>
            <w:vAlign w:val="bottom"/>
          </w:tcPr>
          <w:p>
            <w:pPr>
              <w:spacing w:after="0"/>
              <w:rPr>
                <w:sz w:val="1"/>
                <w:szCs w:val="1"/>
                <w:color w:val="auto"/>
              </w:rPr>
            </w:pPr>
          </w:p>
        </w:tc>
      </w:tr>
      <w:tr>
        <w:trPr>
          <w:trHeight w:val="21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Rinsky, Executive Vice President,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Chief Tax and Treasury Officer</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8/26/2026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3/31/2027</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 to 6,500 shares</w:t>
            </w:r>
          </w:p>
        </w:tc>
        <w:tc>
          <w:tcPr>
            <w:tcW w:w="0" w:type="dxa"/>
            <w:vAlign w:val="bottom"/>
          </w:tcPr>
          <w:p>
            <w:pPr>
              <w:spacing w:after="0"/>
              <w:rPr>
                <w:sz w:val="1"/>
                <w:szCs w:val="1"/>
                <w:color w:val="auto"/>
              </w:rPr>
            </w:pPr>
          </w:p>
        </w:tc>
      </w:tr>
      <w:tr>
        <w:trPr>
          <w:trHeight w:val="224"/>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Mark Dorfman, Executive Vice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President, General Counsel &amp;</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Secretary</w:t>
            </w:r>
          </w:p>
        </w:tc>
        <w:tc>
          <w:tcPr>
            <w:tcW w:w="1660" w:type="dxa"/>
            <w:vAlign w:val="bottom"/>
          </w:tcPr>
          <w:p>
            <w:pPr>
              <w:jc w:val="right"/>
              <w:spacing w:after="0"/>
              <w:rPr>
                <w:sz w:val="20"/>
                <w:szCs w:val="20"/>
                <w:color w:val="auto"/>
              </w:rPr>
            </w:pPr>
            <w:r>
              <w:rPr>
                <w:rFonts w:ascii="Arial" w:cs="Arial" w:eastAsia="Arial" w:hAnsi="Arial"/>
                <w:sz w:val="18"/>
                <w:szCs w:val="18"/>
                <w:color w:val="auto"/>
              </w:rPr>
              <w:t>3/6/2026</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9/4/2026</w:t>
            </w:r>
          </w:p>
        </w:tc>
        <w:tc>
          <w:tcPr>
            <w:tcW w:w="10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620" w:type="dxa"/>
            <w:vAlign w:val="bottom"/>
          </w:tcPr>
          <w:p>
            <w:pPr>
              <w:ind w:left="20"/>
              <w:spacing w:after="0"/>
              <w:rPr>
                <w:sz w:val="20"/>
                <w:szCs w:val="20"/>
                <w:color w:val="auto"/>
              </w:rPr>
            </w:pPr>
            <w:r>
              <w:rPr>
                <w:rFonts w:ascii="Arial" w:cs="Arial" w:eastAsia="Arial" w:hAnsi="Arial"/>
                <w:sz w:val="18"/>
                <w:szCs w:val="18"/>
                <w:color w:val="auto"/>
              </w:rPr>
              <w:t>Up to 27,680 shares</w:t>
            </w:r>
          </w:p>
        </w:tc>
        <w:tc>
          <w:tcPr>
            <w:tcW w:w="0" w:type="dxa"/>
            <w:vAlign w:val="bottom"/>
          </w:tcPr>
          <w:p>
            <w:pPr>
              <w:spacing w:after="0"/>
              <w:rPr>
                <w:sz w:val="1"/>
                <w:szCs w:val="1"/>
                <w:color w:val="auto"/>
              </w:rPr>
            </w:pPr>
          </w:p>
        </w:tc>
      </w:tr>
      <w:tr>
        <w:trPr>
          <w:trHeight w:val="308"/>
        </w:trPr>
        <w:tc>
          <w:tcPr>
            <w:tcW w:w="324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640" w:hanging="332"/>
        <w:spacing w:after="0" w:line="252"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trading arrangement listed is a “Rule 10b5-1 Trading Arrangement” and is intended to satisfy the affirmative defense of Rule 10b5-1(c), as amended.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Transactions under each Rule 10b5-1 Plan commence no earlier than 90 days after adoption, or such later date as required by Rule 10b5-1.</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Rule 10b5-1 Plan may expire on such earlier date as all transactions are completed.</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Rule 10b5-1 Plan provides for shares to be sold on multiple predetermined dates.</w:t>
      </w:r>
    </w:p>
    <w:p>
      <w:pPr>
        <w:spacing w:after="0" w:line="8" w:lineRule="exact"/>
        <w:rPr>
          <w:rFonts w:ascii="Arial" w:cs="Arial" w:eastAsia="Arial" w:hAnsi="Arial"/>
          <w:sz w:val="16"/>
          <w:szCs w:val="16"/>
          <w:color w:val="auto"/>
        </w:rPr>
      </w:pPr>
    </w:p>
    <w:p>
      <w:pPr>
        <w:ind w:left="340" w:right="140" w:hanging="332"/>
        <w:spacing w:after="0" w:line="265"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actual number of shares under each Rule 10b5-1 Plan may be different than the aggregate number of shares listed based on tax withholdings and performance and vesting conditions of performance-based stock units and restricted stock units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580" w:type="dxa"/>
            <w:vAlign w:val="bottom"/>
            <w:gridSpan w:val="7"/>
          </w:tcPr>
          <w:p>
            <w:pPr>
              <w:ind w:left="1920"/>
              <w:spacing w:after="0"/>
              <w:rPr>
                <w:sz w:val="20"/>
                <w:szCs w:val="20"/>
                <w:color w:val="auto"/>
              </w:rPr>
            </w:pPr>
            <w:r>
              <w:rPr>
                <w:rFonts w:ascii="Arial" w:cs="Arial" w:eastAsia="Arial" w:hAnsi="Arial"/>
                <w:sz w:val="14"/>
                <w:szCs w:val="14"/>
                <w:b w:val="1"/>
                <w:bCs w:val="1"/>
                <w:color w:val="auto"/>
              </w:rPr>
              <w:t>Exhibit Description</w:t>
            </w:r>
          </w:p>
        </w:tc>
      </w:tr>
      <w:tr>
        <w:trPr>
          <w:trHeight w:val="189"/>
        </w:trPr>
        <w:tc>
          <w:tcPr>
            <w:tcW w:w="11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tcBorders>
            <w:gridSpan w:val="9"/>
          </w:tcPr>
          <w:p>
            <w:pPr>
              <w:spacing w:after="0" w:line="189" w:lineRule="exact"/>
              <w:rPr>
                <w:sz w:val="20"/>
                <w:szCs w:val="20"/>
                <w:color w:val="auto"/>
              </w:rPr>
            </w:pPr>
            <w:r>
              <w:rPr>
                <w:rFonts w:ascii="Arial" w:cs="Arial" w:eastAsia="Arial" w:hAnsi="Arial"/>
                <w:sz w:val="18"/>
                <w:szCs w:val="18"/>
                <w:color w:val="0000FF"/>
              </w:rPr>
              <w:t>Certification by principal executive officer pursuant to Rule 13a-14(a) or 15d-14(a) under the Securities Exchange Act of</w:t>
            </w: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3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000FF"/>
              </w:rPr>
              <w:t>Certification by principal financial officer pursuant to Rule 13a-14(a) or 15d-14(a) under the Securities Exchange Act of 1934,</w:t>
            </w: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74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as adopted pursuant to Section 302 of the Sarbanes-Oxley Act of 2002</w:t>
            </w:r>
          </w:p>
        </w:tc>
        <w:tc>
          <w:tcPr>
            <w:tcW w:w="10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000FF"/>
              </w:rPr>
              <w:t>Certification by principal executive officer pursuant to 18 U.S.C. Section 1350, as adopted pursuant to Section 906 of the</w:t>
            </w: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Sarbanes-Oxley Act of 2002</w:t>
            </w:r>
          </w:p>
        </w:tc>
        <w:tc>
          <w:tcPr>
            <w:tcW w:w="7160" w:type="dxa"/>
            <w:vAlign w:val="bottom"/>
            <w:tcBorders>
              <w:top w:val="single" w:sz="8" w:color="0000FF"/>
            </w:tcBorders>
            <w:gridSpan w:val="5"/>
          </w:tcPr>
          <w:p>
            <w:pPr>
              <w:spacing w:after="0"/>
              <w:rPr>
                <w:sz w:val="13"/>
                <w:szCs w:val="13"/>
                <w:color w:val="auto"/>
              </w:rPr>
            </w:pPr>
          </w:p>
        </w:tc>
        <w:tc>
          <w:tcPr>
            <w:tcW w:w="420" w:type="dxa"/>
            <w:vAlign w:val="bottom"/>
            <w:gridSpan w:val="2"/>
          </w:tcPr>
          <w:p>
            <w:pPr>
              <w:spacing w:after="0"/>
              <w:rPr>
                <w:sz w:val="13"/>
                <w:szCs w:val="13"/>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000FF"/>
              </w:rPr>
              <w:t>Certification by principal financial officer pursuant to 18 U.S.C. Section 1350, as adopted pursuant to Section 906 of the</w:t>
            </w: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Sarbanes-Oxley Act of 2002</w:t>
            </w:r>
          </w:p>
        </w:tc>
        <w:tc>
          <w:tcPr>
            <w:tcW w:w="7060" w:type="dxa"/>
            <w:vAlign w:val="bottom"/>
            <w:tcBorders>
              <w:top w:val="single" w:sz="8" w:color="0000FF"/>
            </w:tcBorders>
            <w:gridSpan w:val="3"/>
          </w:tcPr>
          <w:p>
            <w:pPr>
              <w:spacing w:after="0"/>
              <w:rPr>
                <w:sz w:val="13"/>
                <w:szCs w:val="13"/>
                <w:color w:val="auto"/>
              </w:rPr>
            </w:pPr>
          </w:p>
        </w:tc>
        <w:tc>
          <w:tcPr>
            <w:tcW w:w="520" w:type="dxa"/>
            <w:vAlign w:val="bottom"/>
            <w:gridSpan w:val="4"/>
          </w:tcPr>
          <w:p>
            <w:pPr>
              <w:spacing w:after="0"/>
              <w:rPr>
                <w:sz w:val="13"/>
                <w:szCs w:val="13"/>
                <w:color w:val="auto"/>
              </w:rPr>
            </w:pPr>
          </w:p>
        </w:tc>
      </w:tr>
      <w:tr>
        <w:trPr>
          <w:trHeight w:val="20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Instance Document – the instance document does not appear on the Interactive Data File because its XBRL tags are</w:t>
            </w:r>
          </w:p>
        </w:tc>
      </w:t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4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9"/>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Filed herewith.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4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Baylouny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34925</wp:posOffset>
            </wp:positionV>
            <wp:extent cx="3514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Name: John Baylouny</w:t>
      </w:r>
    </w:p>
    <w:p>
      <w:pPr>
        <w:spacing w:after="0" w:line="6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Title: President and Chief Executive Officer</w:t>
      </w:r>
    </w:p>
    <w:p>
      <w:pPr>
        <w:spacing w:after="0" w:line="320"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34925</wp:posOffset>
            </wp:positionV>
            <wp:extent cx="3514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Name: Michael D. Dippold</w:t>
      </w:r>
    </w:p>
    <w:p>
      <w:pPr>
        <w:spacing w:after="0" w:line="6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0" w:right="3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jc w:val="center"/>
        <w:ind w:right="100"/>
        <w:spacing w:after="0" w:line="211" w:lineRule="auto"/>
        <w:rPr>
          <w:sz w:val="20"/>
          <w:szCs w:val="20"/>
          <w:color w:val="auto"/>
        </w:rPr>
      </w:pPr>
      <w:r>
        <w:rPr>
          <w:rFonts w:ascii="Times New Roman" w:cs="Times New Roman" w:eastAsia="Times New Roman" w:hAnsi="Times New Roman"/>
          <w:sz w:val="16"/>
          <w:szCs w:val="16"/>
          <w:b w:val="1"/>
          <w:bCs w:val="1"/>
          <w:color w:val="auto"/>
        </w:rPr>
        <w:t>Pursuant to Exchange Act Rule 13a-14(a)/15d-14(a) as</w:t>
      </w: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Baylouny, certify that:</w:t>
      </w:r>
    </w:p>
    <w:p>
      <w:pPr>
        <w:spacing w:after="0" w:line="200" w:lineRule="exact"/>
        <w:rPr>
          <w:sz w:val="20"/>
          <w:szCs w:val="20"/>
          <w:color w:val="auto"/>
        </w:rPr>
      </w:pPr>
    </w:p>
    <w:p>
      <w:pPr>
        <w:spacing w:after="0" w:line="278" w:lineRule="exact"/>
        <w:rPr>
          <w:sz w:val="20"/>
          <w:szCs w:val="20"/>
          <w:color w:val="auto"/>
        </w:rPr>
      </w:pPr>
    </w:p>
    <w:p>
      <w:pPr>
        <w:ind w:left="280" w:hanging="276"/>
        <w:spacing w:after="0"/>
        <w:tabs>
          <w:tab w:leader="none" w:pos="2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2026 of Leonardo DRS, Inc.;</w:t>
      </w:r>
    </w:p>
    <w:p>
      <w:pPr>
        <w:spacing w:after="0" w:line="221" w:lineRule="exact"/>
        <w:rPr>
          <w:rFonts w:ascii="Times New Roman" w:cs="Times New Roman" w:eastAsia="Times New Roman" w:hAnsi="Times New Roman"/>
          <w:sz w:val="16"/>
          <w:szCs w:val="16"/>
          <w:color w:val="auto"/>
        </w:rPr>
      </w:pPr>
    </w:p>
    <w:p>
      <w:pPr>
        <w:ind w:left="400" w:right="160" w:hanging="396"/>
        <w:spacing w:after="0" w:line="245" w:lineRule="auto"/>
        <w:tabs>
          <w:tab w:leader="none" w:pos="29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400" w:right="120" w:hanging="396"/>
        <w:spacing w:after="0" w:line="245" w:lineRule="auto"/>
        <w:tabs>
          <w:tab w:leader="none" w:pos="38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6"/>
          <w:szCs w:val="16"/>
          <w:color w:val="auto"/>
        </w:rPr>
      </w:pPr>
    </w:p>
    <w:p>
      <w:pPr>
        <w:ind w:left="300" w:hanging="296"/>
        <w:spacing w:after="0"/>
        <w:tabs>
          <w:tab w:leader="none" w:pos="3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900" w:right="520" w:hanging="499"/>
        <w:spacing w:after="0" w:line="263" w:lineRule="auto"/>
        <w:tabs>
          <w:tab w:leader="none" w:pos="679"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6"/>
          <w:szCs w:val="16"/>
          <w:color w:val="auto"/>
        </w:rPr>
      </w:pPr>
    </w:p>
    <w:p>
      <w:pPr>
        <w:ind w:left="900" w:right="500" w:hanging="499"/>
        <w:spacing w:after="0" w:line="263" w:lineRule="auto"/>
        <w:tabs>
          <w:tab w:leader="none" w:pos="68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Times New Roman" w:cs="Times New Roman" w:eastAsia="Times New Roman" w:hAnsi="Times New Roman"/>
          <w:sz w:val="16"/>
          <w:szCs w:val="16"/>
          <w:color w:val="auto"/>
        </w:rPr>
      </w:pPr>
    </w:p>
    <w:p>
      <w:pPr>
        <w:ind w:left="900" w:right="440" w:hanging="499"/>
        <w:spacing w:after="0" w:line="280" w:lineRule="auto"/>
        <w:tabs>
          <w:tab w:leader="none" w:pos="679"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00" w:right="280" w:hanging="499"/>
        <w:spacing w:after="0" w:line="245" w:lineRule="auto"/>
        <w:tabs>
          <w:tab w:leader="none" w:pos="68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6"/>
          <w:szCs w:val="16"/>
          <w:color w:val="auto"/>
        </w:rPr>
      </w:pPr>
    </w:p>
    <w:p>
      <w:pPr>
        <w:ind w:left="400" w:right="580" w:hanging="396"/>
        <w:spacing w:after="0" w:line="263" w:lineRule="auto"/>
        <w:tabs>
          <w:tab w:leader="none" w:pos="28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6"/>
          <w:szCs w:val="16"/>
          <w:color w:val="auto"/>
        </w:rPr>
      </w:pPr>
    </w:p>
    <w:p>
      <w:pPr>
        <w:ind w:left="900" w:right="620" w:hanging="499"/>
        <w:spacing w:after="0" w:line="245" w:lineRule="auto"/>
        <w:tabs>
          <w:tab w:leader="none" w:pos="67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900" w:right="220" w:hanging="499"/>
        <w:spacing w:after="0" w:line="245" w:lineRule="auto"/>
        <w:tabs>
          <w:tab w:leader="none" w:pos="679"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00" w:lineRule="exact"/>
        <w:rPr>
          <w:sz w:val="20"/>
          <w:szCs w:val="20"/>
          <w:color w:val="auto"/>
        </w:rPr>
      </w:pPr>
    </w:p>
    <w:p>
      <w:pPr>
        <w:spacing w:after="0" w:line="3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/s/ John Baylouny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63500</wp:posOffset>
            </wp:positionV>
            <wp:extent cx="19284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John Baylouny</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140"/>
          </w:cols>
          <w:pgMar w:left="420" w:top="85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00" w:lineRule="exact"/>
        <w:rPr>
          <w:sz w:val="20"/>
          <w:szCs w:val="20"/>
          <w:color w:val="auto"/>
        </w:rPr>
      </w:pPr>
    </w:p>
    <w:p>
      <w:pPr>
        <w:spacing w:after="0" w:line="3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ind w:left="3640"/>
        <w:spacing w:after="0" w:line="211" w:lineRule="auto"/>
        <w:rPr>
          <w:sz w:val="20"/>
          <w:szCs w:val="20"/>
          <w:color w:val="auto"/>
        </w:rPr>
      </w:pPr>
      <w:r>
        <w:rPr>
          <w:rFonts w:ascii="Times New Roman" w:cs="Times New Roman" w:eastAsia="Times New Roman" w:hAnsi="Times New Roman"/>
          <w:sz w:val="16"/>
          <w:szCs w:val="16"/>
          <w:b w:val="1"/>
          <w:bCs w:val="1"/>
          <w:color w:val="auto"/>
        </w:rPr>
        <w:t>Pursuant to Exchange Act Rule 13a-14(a)/15d-14(a) as</w:t>
      </w:r>
    </w:p>
    <w:p>
      <w:pPr>
        <w:ind w:left="3180"/>
        <w:spacing w:after="0"/>
        <w:rPr>
          <w:sz w:val="20"/>
          <w:szCs w:val="20"/>
          <w:color w:val="auto"/>
        </w:rPr>
      </w:pPr>
      <w:r>
        <w:rPr>
          <w:rFonts w:ascii="Times New Roman" w:cs="Times New Roman" w:eastAsia="Times New Roman" w:hAnsi="Times New Roman"/>
          <w:sz w:val="16"/>
          <w:szCs w:val="16"/>
          <w:b w:val="1"/>
          <w:bCs w:val="1"/>
          <w:color w:val="auto"/>
        </w:rPr>
        <w:t>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D. Dippold, certify that:</w:t>
      </w:r>
    </w:p>
    <w:p>
      <w:pPr>
        <w:spacing w:after="0" w:line="343" w:lineRule="exact"/>
        <w:rPr>
          <w:sz w:val="20"/>
          <w:szCs w:val="20"/>
          <w:color w:val="auto"/>
        </w:rPr>
      </w:pPr>
    </w:p>
    <w:p>
      <w:pPr>
        <w:ind w:left="400" w:hanging="398"/>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2026 of Leonardo DRS, Inc.;</w:t>
      </w:r>
    </w:p>
    <w:p>
      <w:pPr>
        <w:spacing w:after="0" w:line="86" w:lineRule="exact"/>
        <w:rPr>
          <w:rFonts w:ascii="Times New Roman" w:cs="Times New Roman" w:eastAsia="Times New Roman" w:hAnsi="Times New Roman"/>
          <w:sz w:val="16"/>
          <w:szCs w:val="16"/>
          <w:color w:val="auto"/>
        </w:rPr>
      </w:pPr>
    </w:p>
    <w:p>
      <w:pPr>
        <w:jc w:val="both"/>
        <w:ind w:left="400" w:right="1040" w:hanging="398"/>
        <w:spacing w:after="0" w:line="232" w:lineRule="auto"/>
        <w:tabs>
          <w:tab w:leader="none" w:pos="39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left="400" w:right="1000" w:hanging="398"/>
        <w:spacing w:after="0" w:line="245" w:lineRule="auto"/>
        <w:tabs>
          <w:tab w:leader="none" w:pos="39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6"/>
          <w:szCs w:val="16"/>
          <w:color w:val="auto"/>
        </w:rPr>
      </w:pPr>
    </w:p>
    <w:p>
      <w:pPr>
        <w:jc w:val="both"/>
        <w:ind w:left="400" w:right="1040" w:hanging="398"/>
        <w:spacing w:after="0" w:line="232" w:lineRule="auto"/>
        <w:tabs>
          <w:tab w:leader="none" w:pos="39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Times New Roman" w:cs="Times New Roman" w:eastAsia="Times New Roman" w:hAnsi="Times New Roman"/>
          <w:sz w:val="16"/>
          <w:szCs w:val="16"/>
          <w:color w:val="auto"/>
        </w:rPr>
      </w:pPr>
    </w:p>
    <w:p>
      <w:pPr>
        <w:ind w:left="900" w:right="1220" w:hanging="500"/>
        <w:spacing w:after="0" w:line="232" w:lineRule="auto"/>
        <w:tabs>
          <w:tab w:leader="none" w:pos="895"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6"/>
          <w:szCs w:val="16"/>
          <w:color w:val="auto"/>
        </w:rPr>
      </w:pPr>
    </w:p>
    <w:p>
      <w:pPr>
        <w:jc w:val="both"/>
        <w:ind w:left="900" w:right="1340" w:hanging="500"/>
        <w:spacing w:after="0" w:line="263" w:lineRule="auto"/>
        <w:tabs>
          <w:tab w:leader="none" w:pos="889"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6"/>
          <w:szCs w:val="16"/>
          <w:color w:val="auto"/>
        </w:rPr>
      </w:pPr>
    </w:p>
    <w:p>
      <w:pPr>
        <w:ind w:left="900" w:right="1340" w:hanging="500"/>
        <w:spacing w:after="0" w:line="280" w:lineRule="auto"/>
        <w:tabs>
          <w:tab w:leader="none" w:pos="89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00" w:right="1500" w:hanging="500"/>
        <w:spacing w:after="0" w:line="232" w:lineRule="auto"/>
        <w:tabs>
          <w:tab w:leader="none" w:pos="889"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6"/>
          <w:szCs w:val="16"/>
          <w:color w:val="auto"/>
        </w:rPr>
      </w:pPr>
    </w:p>
    <w:p>
      <w:pPr>
        <w:ind w:left="400" w:right="1360" w:hanging="398"/>
        <w:spacing w:after="0" w:line="245" w:lineRule="auto"/>
        <w:tabs>
          <w:tab w:leader="none" w:pos="39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Times New Roman" w:cs="Times New Roman" w:eastAsia="Times New Roman" w:hAnsi="Times New Roman"/>
          <w:sz w:val="16"/>
          <w:szCs w:val="16"/>
          <w:color w:val="auto"/>
        </w:rPr>
      </w:pPr>
    </w:p>
    <w:p>
      <w:pPr>
        <w:ind w:left="900" w:right="1720" w:hanging="500"/>
        <w:spacing w:after="0" w:line="245" w:lineRule="auto"/>
        <w:tabs>
          <w:tab w:leader="none" w:pos="895"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900" w:right="1440" w:hanging="500"/>
        <w:spacing w:after="0" w:line="245" w:lineRule="auto"/>
        <w:tabs>
          <w:tab w:leader="none" w:pos="889"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20320</wp:posOffset>
            </wp:positionV>
            <wp:extent cx="17399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Michael D. Dippold</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140"/>
          </w:cols>
          <w:pgMar w:left="420" w:top="83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Pursuant to 18 U.S.C. Section 1350 as</w:t>
      </w:r>
    </w:p>
    <w:p>
      <w:pPr>
        <w:jc w:val="center"/>
        <w:spacing w:after="0"/>
        <w:rPr>
          <w:sz w:val="20"/>
          <w:szCs w:val="20"/>
          <w:color w:val="auto"/>
        </w:rPr>
      </w:pPr>
      <w:r>
        <w:rPr>
          <w:rFonts w:ascii="Times New Roman" w:cs="Times New Roman" w:eastAsia="Times New Roman" w:hAnsi="Times New Roman"/>
          <w:sz w:val="16"/>
          <w:szCs w:val="16"/>
          <w:b w:val="1"/>
          <w:bCs w:val="1"/>
          <w:color w:val="auto"/>
        </w:rPr>
        <w:t>Adopted Pursuant to Section 906 of the Sarbanes-Oxley Act of 2002</w:t>
      </w:r>
    </w:p>
    <w:p>
      <w:pPr>
        <w:spacing w:after="0" w:line="200" w:lineRule="exact"/>
        <w:rPr>
          <w:sz w:val="20"/>
          <w:szCs w:val="20"/>
          <w:color w:val="auto"/>
        </w:rPr>
      </w:pPr>
    </w:p>
    <w:p>
      <w:pPr>
        <w:spacing w:after="0" w:line="273" w:lineRule="exact"/>
        <w:rPr>
          <w:sz w:val="20"/>
          <w:szCs w:val="20"/>
          <w:color w:val="auto"/>
        </w:rPr>
      </w:pPr>
    </w:p>
    <w:p>
      <w:pPr>
        <w:ind w:left="100" w:right="120"/>
        <w:spacing w:after="0" w:line="232" w:lineRule="auto"/>
        <w:rPr>
          <w:sz w:val="20"/>
          <w:szCs w:val="20"/>
          <w:color w:val="auto"/>
        </w:rPr>
      </w:pPr>
      <w:r>
        <w:rPr>
          <w:rFonts w:ascii="Times New Roman" w:cs="Times New Roman" w:eastAsia="Times New Roman" w:hAnsi="Times New Roman"/>
          <w:sz w:val="16"/>
          <w:szCs w:val="16"/>
          <w:color w:val="auto"/>
        </w:rPr>
        <w:t>In connection with the Quarterly Report of Leonardo DRS, Inc. (the “Company”) on Form 10-Q for the period ended September 30, 2026,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spacing w:after="0" w:line="195" w:lineRule="exact"/>
        <w:rPr>
          <w:sz w:val="20"/>
          <w:szCs w:val="20"/>
          <w:color w:val="auto"/>
        </w:rPr>
      </w:pPr>
    </w:p>
    <w:p>
      <w:pPr>
        <w:ind w:left="380" w:hanging="276"/>
        <w:spacing w:after="0"/>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which this statement accompanies, fully complies with the requirements of Section 13(a) or 15(d) of the Securities Exchange Act of 1934; and</w:t>
      </w:r>
    </w:p>
    <w:p>
      <w:pPr>
        <w:spacing w:after="0" w:line="234" w:lineRule="exact"/>
        <w:rPr>
          <w:rFonts w:ascii="Times New Roman" w:cs="Times New Roman" w:eastAsia="Times New Roman" w:hAnsi="Times New Roman"/>
          <w:sz w:val="16"/>
          <w:szCs w:val="16"/>
          <w:color w:val="auto"/>
        </w:rPr>
      </w:pPr>
    </w:p>
    <w:p>
      <w:pPr>
        <w:ind w:left="380" w:hanging="276"/>
        <w:spacing w:after="0"/>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00" w:lineRule="exact"/>
        <w:rPr>
          <w:sz w:val="20"/>
          <w:szCs w:val="20"/>
          <w:color w:val="auto"/>
        </w:rPr>
      </w:pPr>
    </w:p>
    <w:p>
      <w:pPr>
        <w:spacing w:after="0" w:line="3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/s/ John Baylouny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63500</wp:posOffset>
            </wp:positionV>
            <wp:extent cx="1928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9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John Baylouny</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940"/>
        <w:spacing w:after="0" w:line="232" w:lineRule="auto"/>
        <w:rPr>
          <w:sz w:val="20"/>
          <w:szCs w:val="20"/>
          <w:color w:val="auto"/>
        </w:rPr>
      </w:pPr>
      <w:r>
        <w:rPr>
          <w:rFonts w:ascii="Times New Roman" w:cs="Times New Roman" w:eastAsia="Times New Roman" w:hAnsi="Times New Roman"/>
          <w:sz w:val="16"/>
          <w:szCs w:val="16"/>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ectPr>
          <w:pgSz w:w="11900" w:h="16838" w:orient="portrait"/>
          <w:cols w:equalWidth="0" w:num="1">
            <w:col w:w="11240"/>
          </w:cols>
          <w:pgMar w:left="320" w:top="85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Pursuant to 18 U.S.C. Section 1350 as</w:t>
      </w:r>
    </w:p>
    <w:p>
      <w:pPr>
        <w:jc w:val="center"/>
        <w:spacing w:after="0"/>
        <w:rPr>
          <w:sz w:val="20"/>
          <w:szCs w:val="20"/>
          <w:color w:val="auto"/>
        </w:rPr>
      </w:pPr>
      <w:r>
        <w:rPr>
          <w:rFonts w:ascii="Times New Roman" w:cs="Times New Roman" w:eastAsia="Times New Roman" w:hAnsi="Times New Roman"/>
          <w:sz w:val="16"/>
          <w:szCs w:val="16"/>
          <w:b w:val="1"/>
          <w:bCs w:val="1"/>
          <w:color w:val="auto"/>
        </w:rPr>
        <w:t>Adopted Pursuant to 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left="100" w:right="1080"/>
        <w:spacing w:after="0" w:line="232" w:lineRule="auto"/>
        <w:rPr>
          <w:sz w:val="20"/>
          <w:szCs w:val="20"/>
          <w:color w:val="auto"/>
        </w:rPr>
      </w:pPr>
      <w:r>
        <w:rPr>
          <w:rFonts w:ascii="Times New Roman" w:cs="Times New Roman" w:eastAsia="Times New Roman" w:hAnsi="Times New Roman"/>
          <w:sz w:val="16"/>
          <w:szCs w:val="16"/>
          <w:color w:val="auto"/>
        </w:rPr>
        <w:t>In connection with the Quarterly Report of Leonardo DRS, Inc. (the “Company”) on Form 10-Q for the period ended September 30, 2026,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spacing w:after="0" w:line="60" w:lineRule="exact"/>
        <w:rPr>
          <w:sz w:val="20"/>
          <w:szCs w:val="20"/>
          <w:color w:val="auto"/>
        </w:rPr>
      </w:pPr>
    </w:p>
    <w:p>
      <w:pPr>
        <w:ind w:left="500" w:right="1380" w:hanging="398"/>
        <w:spacing w:after="0" w:line="245" w:lineRule="auto"/>
        <w:tabs>
          <w:tab w:leader="none" w:pos="49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which this statement accompanies, fully complies with the requirements of Section 13(a) or 15(d) of the Securities Exchange Act of 1934; and</w:t>
      </w:r>
    </w:p>
    <w:p>
      <w:pPr>
        <w:spacing w:after="0" w:line="69" w:lineRule="exact"/>
        <w:rPr>
          <w:rFonts w:ascii="Times New Roman" w:cs="Times New Roman" w:eastAsia="Times New Roman" w:hAnsi="Times New Roman"/>
          <w:sz w:val="16"/>
          <w:szCs w:val="16"/>
          <w:color w:val="auto"/>
        </w:rPr>
      </w:pPr>
    </w:p>
    <w:p>
      <w:pPr>
        <w:ind w:left="500" w:hanging="398"/>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20320</wp:posOffset>
            </wp:positionV>
            <wp:extent cx="1739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6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Michael D. Dippold</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386" w:lineRule="exact"/>
        <w:rPr>
          <w:sz w:val="20"/>
          <w:szCs w:val="20"/>
          <w:color w:val="auto"/>
        </w:rPr>
      </w:pPr>
    </w:p>
    <w:p>
      <w:pPr>
        <w:ind w:right="2940"/>
        <w:spacing w:after="0" w:line="232" w:lineRule="auto"/>
        <w:rPr>
          <w:sz w:val="20"/>
          <w:szCs w:val="20"/>
          <w:color w:val="auto"/>
        </w:rPr>
      </w:pPr>
      <w:r>
        <w:rPr>
          <w:rFonts w:ascii="Times New Roman" w:cs="Times New Roman" w:eastAsia="Times New Roman" w:hAnsi="Times New Roman"/>
          <w:sz w:val="16"/>
          <w:szCs w:val="16"/>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sectPr>
      <w:pgSz w:w="11900" w:h="16838" w:orient="portrait"/>
      <w:cols w:equalWidth="0" w:num="1">
        <w:col w:w="11240"/>
      </w:cols>
      <w:pgMar w:left="320" w:top="8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upperLetter"/>
      <w:start w:val="1"/>
    </w:lvl>
  </w:abstractNum>
  <w:abstractNum w:abstractNumId="6">
    <w:nsid w:val="66EF438D"/>
    <w:multiLevelType w:val="hybridMultilevel"/>
    <w:lvl w:ilvl="0">
      <w:lvlJc w:val="left"/>
      <w:lvlText w:val="%1."/>
      <w:numFmt w:val="upperLetter"/>
      <w:start w:val="2"/>
    </w:lvl>
  </w:abstractNum>
  <w:abstractNum w:abstractNumId="7">
    <w:nsid w:val="140E0F76"/>
    <w:multiLevelType w:val="hybridMultilevel"/>
    <w:lvl w:ilvl="0">
      <w:lvlJc w:val="left"/>
      <w:lvlText w:val="%1."/>
      <w:numFmt w:val="upperLetter"/>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2026-10-29T17:15:02Z</dcterms:created>
  <dcterms:modified xsi:type="dcterms:W3CDTF">2026-10-29T17:15:02Z</dcterms:modified>
</cp:coreProperties>
</file>